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43968-2023 i Ånge kommun</w:t>
      </w:r>
    </w:p>
    <w:p>
      <w:r>
        <w:t>Detta dokument behandlar höga naturvärden i avverkningsanmälan A 43968-2023 i Ånge kommun. Denna avverkningsanmälan inkom 2023-09-18 00:00:00 och omfattar 21,8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25 naturvårdsarter hittats: urskogsporing (EN), jättemusseron (VU), lammticka (VU), spadskinn (VU), tajgataggsvamp (VU), torrmusseron (VU), dvärgbägarlav (NT), kolflarnlav (NT), kådvaxskinn (NT), motaggsvamp (NT), mörk kolflarnlav (NT), nordtagging (NT), oljetagging (NT), orange taggsvamp (NT), skrovlig taggsvamp (NT), svart taggsvamp agg. (NT), svartvit taggsvamp (NT), tallriska (NT), vedskivlav (NT), dropptaggsvamp (S), grönpyrola (S), skarp dropptaggsvamp (S), skinnlav (S), tallfingersvamp (S) och vedticka (S). Av dessa är 19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8063"/>
            <wp:docPr id="1" name="Picture 1"/>
            <wp:cNvGraphicFramePr>
              <a:graphicFrameLocks noChangeAspect="1"/>
            </wp:cNvGraphicFramePr>
            <a:graphic>
              <a:graphicData uri="http://schemas.openxmlformats.org/drawingml/2006/picture">
                <pic:pic>
                  <pic:nvPicPr>
                    <pic:cNvPr id="0" name="A 43968-2023 karta.png"/>
                    <pic:cNvPicPr/>
                  </pic:nvPicPr>
                  <pic:blipFill>
                    <a:blip r:embed="rId16"/>
                    <a:stretch>
                      <a:fillRect/>
                    </a:stretch>
                  </pic:blipFill>
                  <pic:spPr>
                    <a:xfrm>
                      <a:off x="0" y="0"/>
                      <a:ext cx="5486400" cy="72780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6939447, E 555321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Jättemusseron (VU)</w:t>
      </w:r>
      <w:r>
        <w:t xml:space="preserve"> bildar mykorrhiza med tall, i äldre lavtallskog och hällmarkstallskog. Den visar på såväl sandtallskogar som hällmarkstallskogar med långvarig tallkontinuitet och svampen är sannolikt en kvarleva (relikt) på sina samtliga växtplatser. Arten är placerad högst upp i Skogsstyrelsens värdepyramid för bedömning av skog med höga naturvärden och slutavverkning bör tills vidare undvikas i skogsbestånd där arten är känd. Jättemusseron är globalt rödlistad som sårbar (VU) och Sverige och Norge har sannolikt merparten av den europeiska populationen och därmed ett särskilt ansvar för dess bevarande (IUCN, 2025;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Kådvaxskinn (NT)</w:t>
      </w:r>
      <w:r>
        <w:t xml:space="preserve"> är en nedbrytare på grova lågor av tall eller gran i det förmultningsstadium då barken fallit av. Arten tillhör den boreala blåbärsbarrskogens vedsvampssamhälle och hittas främst i naturskogsartad eller plockhuggen skog med mycket död ved. Arten hotas av avverkning av äldre barrskog. Den typ av vedkvalité som arten fordrar nyskapas i alltför liten omfattning i produktionsskog (SLU Artdatabanken, 2024).</w:t>
      </w:r>
    </w:p>
    <w:p>
      <w:r>
        <w:rPr>
          <w:b/>
        </w:rPr>
        <w:t>Lammticka (VU)</w:t>
      </w:r>
      <w:r>
        <w:t xml:space="preserve"> bildar mykorrhiza med tall och växer i tämligen öppna barrskogar ofta magra tallhedar, gärna på sandig mark.</w:t>
      </w:r>
      <w:r>
        <w:rPr>
          <w:b/>
        </w:rPr>
        <w:t xml:space="preserve"> </w:t>
      </w:r>
      <w:r>
        <w:t>Arten är placerad högst upp i Skogsstyrelsens värdepyramid för bedömning av skog med höga naturvärden och tål inte slutavverkning (SLU Artdatabanken, 2024;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Oljetagging (NT)</w:t>
      </w:r>
      <w:r>
        <w:t xml:space="preserve"> är en nedbrytare på grova liggande stammar av asp, sällsynt andra lövträd. Påträffas framförallt i fuktiga lägen i löv- och blandskog, t ex äldre bondeskogar men också i naturskogsartad barrskog med aspinslag. Arten påverkas negativt av brist på död ved och den totala populationen i landet bedöms fortfarande minska fortlöpande, framförallt på grund av att äldre aspbestånd i sluten, fuktig miljö slutavverkas eller gallras i en snabbare takt än vad lämpliga miljöer nybildas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Skarp dropptaggsvamp (NT) </w:t>
      </w:r>
      <w:r>
        <w:t>bildar mykorrhiza med både gran och tall, främst i barrskogar med trädkontinuitet. Arten uppträder dels i näringsrik kalkbarrskog och dels i sur lavtallskog. Kalkbarrskogarna är ofta grandominerade, olikåldriga och skiktade på frisk mark med ett örtrikt vegetationsskikt. Lavtallskogarna är i regel magra, torra, ljusöppna och ofta brandpräglade. Den totala populationen i landet har minskat och bedöms fortsätta minska till följd av avverkning av äldre barrskogar. Arten har begränsad förmåga att återetablera sig efter slutavverkning eller andra storskaliga skogsbruksåtgärder. Det saknas indikationer på att arten långsiktigt kan etablera eller reproducera sig i skogsbestånd som brukas med metoder som trakthyggesbruk, markberedning, gödsling eller föryngring med förädlat plantmaterial. Minskningstakten för den svenska populationen bedöms vara nära gränsvärdet för Sårbar (VU) (SLU Artdatabanken, 2026).</w:t>
      </w:r>
    </w:p>
    <w:p>
      <w:r>
        <w:rPr>
          <w:b/>
        </w:rPr>
        <w:t xml:space="preserve">Skinnlav </w:t>
      </w:r>
      <w:r>
        <w:t xml:space="preserve">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Skinnlav är typisk art för </w:t>
      </w:r>
      <w:r>
        <w:rPr>
          <w:i/>
        </w:rPr>
        <w:t xml:space="preserve">9010 Taiga, 9020 Nordlig ädellövskog </w:t>
      </w:r>
      <w:r>
        <w:t xml:space="preserve">och </w:t>
      </w:r>
      <w:r>
        <w:rPr>
          <w:i/>
        </w:rPr>
        <w:t xml:space="preserve">9070 Trädklädd betesmark </w:t>
      </w:r>
      <w:r>
        <w:t>(Nitare &amp; Skogsstyrelsen, 2019; SLU Artdatabanken, 2025).</w:t>
      </w:r>
    </w:p>
    <w:p>
      <w:r>
        <w:rPr>
          <w:b/>
        </w:rPr>
        <w:t xml:space="preserve">Skrovlig taggsvamp (VU)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2026; Nitare, 2006).</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Svart taggsvamp agg. </w:t>
      </w:r>
      <w:r>
        <w:t xml:space="preserve">har visat sig bestå av fyra olika arter: </w:t>
      </w:r>
      <w:r>
        <w:rPr>
          <w:i/>
        </w:rPr>
        <w:t>Phellodon melilotinus</w:t>
      </w:r>
      <w:r>
        <w:t xml:space="preserve"> (VU), </w:t>
      </w:r>
      <w:r>
        <w:rPr>
          <w:i/>
        </w:rPr>
        <w:t>Phellodon aquiloniniger</w:t>
      </w:r>
      <w:r>
        <w:t xml:space="preserve"> (NT), </w:t>
      </w:r>
      <w:r>
        <w:rPr>
          <w:i/>
        </w:rPr>
        <w:t>Phellodon frondosoniger</w:t>
      </w:r>
      <w:r>
        <w:t xml:space="preserve"> (NT) och svart taggsvamp </w:t>
      </w:r>
      <w:r>
        <w:rPr>
          <w:i/>
        </w:rPr>
        <w:t>Phellodon niger</w:t>
      </w:r>
      <w:r>
        <w:t xml:space="preserve"> (NT). De olika arterna är mykorrhizasvampar med olika utbredning och ekologi som kan påträffas både i barr- och lövskogar. Samtliga arterna är rödlistade och signalerar skogsområden med höga naturvärden (SLU Artdatabanken, 2026; Nitare &amp; Skogsstyrelsen, 2019).</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Tallfingersvamp (NT) </w:t>
      </w:r>
      <w:r>
        <w:t>bildar mykorrhiza med tall och gran i äldre barrskog, framför allt sandtallskog men även i annan näringsfattig barrskog, huvudsakligen i äldre kontinuitetsskog. Den totala populationen i landet har minskat och bedöms fortsätta minska till följd av avverkning av barrskogar med trädkontinuitet. Minskningstakten för den svenska populationen bedöms vara nära gränsvärdet för Sårbar (VU). Slutavverkning, gödsling eller exploatering måste undvikas (SLU Artdatabanken, 2026).</w:t>
      </w:r>
    </w:p>
    <w:p>
      <w:r>
        <w:rPr>
          <w:b/>
        </w:rPr>
        <w:t>Tallriska (NT)</w:t>
      </w:r>
      <w:r>
        <w:t xml:space="preserve"> bildar mykorrhiza med tall och växer i äldre, mager och torr tallskog med lång trädkontinuitet, såsom tallhedar och sandtallskogar. Arten hotas huvudsakligen av avverkning av äldre tallskogar och på kända lokaler bör slutavverkning, markberedning och gödsling undvikas (SLU Artdatabanken, 2024).</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1.09 ha med buffertzonerna och får av detta skäl inte avverkas.</w:t>
      </w:r>
    </w:p>
    <w:p>
      <w:pPr>
        <w:pStyle w:val="Caption"/>
      </w:pPr>
      <w:r>
        <w:drawing>
          <wp:inline xmlns:a="http://schemas.openxmlformats.org/drawingml/2006/main" xmlns:pic="http://schemas.openxmlformats.org/drawingml/2006/picture">
            <wp:extent cx="5486400" cy="10466011"/>
            <wp:docPr id="2" name="Picture 2"/>
            <wp:cNvGraphicFramePr>
              <a:graphicFrameLocks noChangeAspect="1"/>
            </wp:cNvGraphicFramePr>
            <a:graphic>
              <a:graphicData uri="http://schemas.openxmlformats.org/drawingml/2006/picture">
                <pic:pic>
                  <pic:nvPicPr>
                    <pic:cNvPr id="0" name="A 43968-2023 karta knärot.png"/>
                    <pic:cNvPicPr/>
                  </pic:nvPicPr>
                  <pic:blipFill>
                    <a:blip r:embed="rId17"/>
                    <a:stretch>
                      <a:fillRect/>
                    </a:stretch>
                  </pic:blipFill>
                  <pic:spPr>
                    <a:xfrm>
                      <a:off x="0" y="0"/>
                      <a:ext cx="5486400" cy="10466011"/>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6939447, E 555321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