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55004-2023 i Ånge kommun</w:t>
      </w:r>
    </w:p>
    <w:p>
      <w:r>
        <w:t>Detta dokument behandlar höga naturvärden i avverkningsanmälan A 55004-2023 i Ånge kommun. Denna avverkningsanmälan inkom 2023-11-06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r>
        <w:rPr>
          <w:b/>
        </w:rPr>
        <w:t>Kransrams</w:t>
      </w:r>
      <w:r>
        <w:t xml:space="preserve"> är typisk art för </w:t>
      </w:r>
      <w:r>
        <w:rPr>
          <w:i/>
        </w:rPr>
        <w:t xml:space="preserve">9020 Nordlig ädellövskog </w:t>
      </w:r>
      <w:r>
        <w:t>(SLU Artdatabanken, 2025).</w:t>
      </w:r>
    </w:p>
    <w:p>
      <w:r>
        <w:rPr>
          <w:b/>
        </w:rPr>
        <w:t xml:space="preserve">Spädstarr </w:t>
      </w:r>
      <w:r>
        <w:t xml:space="preserve">är typisk art för </w:t>
      </w:r>
      <w:r>
        <w:rPr>
          <w:i/>
        </w:rPr>
        <w:t xml:space="preserve">9080 Lövsumpskog </w:t>
      </w:r>
      <w:r>
        <w:t>(SLU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