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64518-2023 i Ånge kommun</w:t>
      </w:r>
    </w:p>
    <w:p>
      <w:r>
        <w:t>Denna tillsynsbegäran behandlar höga naturvärden i avverkningsanmälan A 64518-2023 i Ånge kommun som inkom 2023-12-21 och omfattar 69,5 ha.</w:t>
      </w:r>
    </w:p>
    <w:p>
      <w:pPr>
        <w:pStyle w:val="Caption"/>
      </w:pPr>
      <w:r>
        <w:drawing>
          <wp:inline xmlns:a="http://schemas.openxmlformats.org/drawingml/2006/main" xmlns:pic="http://schemas.openxmlformats.org/drawingml/2006/picture">
            <wp:extent cx="5486400" cy="4951249"/>
            <wp:docPr id="1" name="Picture 1"/>
            <wp:cNvGraphicFramePr>
              <a:graphicFrameLocks noChangeAspect="1"/>
            </wp:cNvGraphicFramePr>
            <a:graphic>
              <a:graphicData uri="http://schemas.openxmlformats.org/drawingml/2006/picture">
                <pic:pic>
                  <pic:nvPicPr>
                    <pic:cNvPr id="0" name="A 64518-2023 karta.png"/>
                    <pic:cNvPicPr/>
                  </pic:nvPicPr>
                  <pic:blipFill>
                    <a:blip r:embed="rId16"/>
                    <a:stretch>
                      <a:fillRect/>
                    </a:stretch>
                  </pic:blipFill>
                  <pic:spPr>
                    <a:xfrm>
                      <a:off x="0" y="0"/>
                      <a:ext cx="5486400" cy="495124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6933835, E 520455 i SWEREF 99 TM.</w:t>
      </w:r>
    </w:p>
    <w:p>
      <w:r>
        <w:t>I och inom 15 meter från avverkningsanmälan finns fynd av 50 naturvårdsarter, varav 29 är rödlistade, 11 är fridlysta, 38 är typiska (T) och 14 är signalarter (S): doftticka (VU, T, §8), garnlav (VU, T), gräddporing (VU, T), gränsticka (VU, T), knärot (VU, T, §8), ulltickeporing (VU), blå taggsvamp (NT, T), dropptaggsvamp (NT, T), dvärgbägarlav (NT, T), fjällig taggsvamp s.str. (NT), flattoppad klubbsvamp (NT), gammelgransskål (NT, T), grantaggsvamp (NT), kolflarnlav (NT, T), koralltaggsvamp (NT, T), kortskaftad ärgspik (NT), lunglav (NT, T), mörk kolflarnlav (NT), orange taggsvamp (NT, T), rosenticka (NT, T), skarp dropptaggsvamp (NT), skrovellav (NT, T), talltagel (NT, T), tallticka (NT, T), talltita (NT, §4), ullticka (NT, T), vedskivlav (NT, T), vedtrappmossa (NT, T), violettgrå tagellav (NT, T), barkticka (S, T), bårdlav (S, T), grovticka (S, T), grönpyrola (S, T), jättesvampmal (S), luddlav (S, T), norrlandslav (S, T), nästlav (S, T), plattlummer (S, T, §9), skinnlav (S, T), spindelblomster (S, T, §8), stor aspticka (S, T), stuplav (S, T), vedticka (S, T), järpe (T, §4), linnea (T), spillkråka (T, §4), tjäder (T, §4), kungsfågel (§4),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65 fyndplatser för knärot registrerade på Artportalen. Figur 2 visar gränserna för buffertzoner på 50 m, som behöver lämnas kring fyndplatserna för att knärotslokalerna inte ska försvinna vid en avverkning. Av det avverkningsanmälda området överlappar 25.88 ha med buffertzonerna och får av detta skäl inte avverkas.</w:t>
      </w:r>
    </w:p>
    <w:p>
      <w:pPr>
        <w:pStyle w:val="Caption"/>
      </w:pPr>
      <w:r>
        <w:drawing>
          <wp:inline xmlns:a="http://schemas.openxmlformats.org/drawingml/2006/main" xmlns:pic="http://schemas.openxmlformats.org/drawingml/2006/picture">
            <wp:extent cx="5486400" cy="4296737"/>
            <wp:docPr id="2" name="Picture 2"/>
            <wp:cNvGraphicFramePr>
              <a:graphicFrameLocks noChangeAspect="1"/>
            </wp:cNvGraphicFramePr>
            <a:graphic>
              <a:graphicData uri="http://schemas.openxmlformats.org/drawingml/2006/picture">
                <pic:pic>
                  <pic:nvPicPr>
                    <pic:cNvPr id="0" name="A 64518-2023 karta knärot.png"/>
                    <pic:cNvPicPr/>
                  </pic:nvPicPr>
                  <pic:blipFill>
                    <a:blip r:embed="rId17"/>
                    <a:stretch>
                      <a:fillRect/>
                    </a:stretch>
                  </pic:blipFill>
                  <pic:spPr>
                    <a:xfrm>
                      <a:off x="0" y="0"/>
                      <a:ext cx="5486400" cy="42967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6933835, E 520455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gräddporing (VU, T), gränsticka (VU, T), knärot (VU, T, §8), blå taggsvamp (NT, T), dropptaggsvamp (NT, T), dvärgbägarlav (NT, T), gammelgransskål (NT, T), kolflarnlav (NT, T), koralltaggsvamp (NT, T), lunglav (NT, T), orange taggsvamp (NT, T), rosenticka (NT, T), skrovellav (NT, T), talltagel (NT, T), tallticka (NT, T), ullticka (NT, T), vedskivlav (NT, T), vedtrappmossa (NT, T), violettgrå tagellav (NT, T), barkticka (S, T), bårdlav (S, T), grovticka (S, T), grönpyrola (S, T), luddlav (S, T), norrlandslav (S, T), nästlav (S, T), plattlummer (S, T, §9), skinnlav (S, T), spindelblomster (S, T, §8), stor aspticka (S, T), stuplav (S, T), vedticka (S, T), järpe (T, §4), linnea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