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30478-2024 i Ånge kommun</w:t>
      </w:r>
    </w:p>
    <w:p>
      <w:r>
        <w:t>Detta dokument behandlar höga naturvärden i avverkningsanmälan A 30478-2024 i Ånge kommun. Denna avverkningsanmälan inkom 2024-07-19 och omfattar 2,0 ha.</w:t>
      </w:r>
    </w:p>
    <w:p>
      <w:r>
        <w:t>Nedan presenteras fynd av fridlysta arter som gjorts i det avverkningsanmälda området, samt relevanta utdrag ur standarderna för FSC, Chain of Custody, Controlled Wood och PEFC. I BILAGA 1 finns artfakta om fridlysta arter.</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Fridlysta arter</w:t>
      </w:r>
    </w:p>
    <w:p>
      <w:r>
        <w:t>Följande fridlysta arter har sina livsmiljöer och växtplatser i den avverkningsanmälda skogen: .</w:t>
      </w:r>
    </w:p>
    <w:p>
      <w:r>
        <w:rPr>
          <w:b/>
        </w:rPr>
        <w:t>Knärot (VU, §8)</w:t>
      </w:r>
      <w:r>
        <w:t xml:space="preserve"> är rödlistad som sårbar (VU). För att knärot inte ska ta skada av skogsbruksåtgärder i intilliggande skog krävs buffertzoner på minst 50 meter (Johnson, 2014; Koelmeijer m.fl., 2022; Skogsstyrelsen, 2022). Arten är även känslig för gallring vilket framgår av Skogsstyrelsens egen vägledning för hänsyn till knärot (Skogsstyrelsen, 2022). För rika förekomster av knärot är reservatsbildning eller biotopskydd lämpliga åtgärder för att skydda den (SLU Artdatabanken, 2023).</w:t>
      </w:r>
    </w:p>
    <w:p>
      <w:r>
        <w:t>I det avverkningsanmälda området finns 0 fyndplatser för knärot registrerade på Artportalen. Figur 2 visar gränserna för buffertzoner på 50 m, som behöver lämnas kring fyndplatserna för att knärotslokalerna inte ska försvinna vid en avverkning. Av det avverkningsanmälda området överlappar 0.17 ha med buffertzonerna och får av detta skäl inte avverkas.</w:t>
      </w:r>
    </w:p>
    <w:p>
      <w:pPr>
        <w:pStyle w:val="Caption"/>
      </w:pPr>
      <w:r>
        <w:drawing>
          <wp:inline xmlns:a="http://schemas.openxmlformats.org/drawingml/2006/main" xmlns:pic="http://schemas.openxmlformats.org/drawingml/2006/picture">
            <wp:extent cx="5486400" cy="5448950"/>
            <wp:docPr id="1" name="Picture 1"/>
            <wp:cNvGraphicFramePr>
              <a:graphicFrameLocks noChangeAspect="1"/>
            </wp:cNvGraphicFramePr>
            <a:graphic>
              <a:graphicData uri="http://schemas.openxmlformats.org/drawingml/2006/picture">
                <pic:pic>
                  <pic:nvPicPr>
                    <pic:cNvPr id="0" name="A 30478-2024 karta knärot.png"/>
                    <pic:cNvPicPr/>
                  </pic:nvPicPr>
                  <pic:blipFill>
                    <a:blip r:embed="rId16"/>
                    <a:stretch>
                      <a:fillRect/>
                    </a:stretch>
                  </pic:blipFill>
                  <pic:spPr>
                    <a:xfrm>
                      <a:off x="0" y="0"/>
                      <a:ext cx="5486400" cy="5448950"/>
                    </a:xfrm>
                    <a:prstGeom prst="rect"/>
                  </pic:spPr>
                </pic:pic>
              </a:graphicData>
            </a:graphic>
          </wp:inline>
        </w:drawing>
      </w:r>
    </w:p>
    <w:p>
      <w:pPr>
        <w:pStyle w:val="Caption"/>
      </w:pPr>
      <w:r>
        <w:t>Figur 2. Fyndplatser och buffertzoner för knärot i det avverkningsanmälda området. Endast fyndplatser vars buffertzoner överlappar med det avverkningsanmälda området har tagits med i visualiseringen. Kartans mittpunktskoordinat är N 6913749, E 518706 i SWEREF 99 TM.</w:t>
      </w:r>
    </w:p>
    <w:p>
      <w:pPr>
        <w:pStyle w:val="Caption"/>
      </w:pPr>
    </w:p>
    <w:p>
      <w:r>
        <w:t>I BILAGA 1 finns mer detaljerad information om ekologi samt krav på livsmiljö hos fridlysta arter.</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0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Knärot – ekologi samt krav på livsmiljön</w:t>
      </w:r>
    </w:p>
    <w:p>
      <w:r>
        <w:t>Knärot är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2021).</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En nyligen publicerad vetenskaplig uppsats av Koelmeijer m.fl. (2022) inkluderar orkidén knärots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 xml:space="preserve">Ecological Applications, 22, 2049–2064 </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2025-03-17</w:t>
      <w:br/>
      <w:br/>
    </w:r>
    <w:r>
      <w:t>Till: SCA</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