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49184-2022 i Ånge kommun</w:t>
      </w:r>
    </w:p>
    <w:p>
      <w:r>
        <w:t>Detta dokument behandlar höga naturvärden i avverkningsanmälan A 49184-2022 i Ånge kommun. Denna avverkningsanmälan inkom 2022-10-26 och omfattar 14,0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15 naturvårdsarter hittats: knärot (VU, §8), rynkskinn (VU), kolflarnlav (NT), mörk kolflarnlav (NT), rosenticka (NT), stiftgelélav (NT), svartvit flugsnappare (NT, §4), ullticka (NT), vedskivlav (NT), vedtrappmossa (NT), violettgrå tagellav (NT), dropptaggsvamp (S), flagellkvastmossa (S), skinnlav (S) och kungsfågel (§4).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66117"/>
            <wp:docPr id="1" name="Picture 1"/>
            <wp:cNvGraphicFramePr>
              <a:graphicFrameLocks noChangeAspect="1"/>
            </wp:cNvGraphicFramePr>
            <a:graphic>
              <a:graphicData uri="http://schemas.openxmlformats.org/drawingml/2006/picture">
                <pic:pic>
                  <pic:nvPicPr>
                    <pic:cNvPr id="0" name="A 49184-2022 karta.png"/>
                    <pic:cNvPicPr/>
                  </pic:nvPicPr>
                  <pic:blipFill>
                    <a:blip r:embed="rId16"/>
                    <a:stretch>
                      <a:fillRect/>
                    </a:stretch>
                  </pic:blipFill>
                  <pic:spPr>
                    <a:xfrm>
                      <a:off x="0" y="0"/>
                      <a:ext cx="5486400" cy="39661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6919988, E 520574 i SWEREF 99 TM.</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Stiftgelélav (NT)</w:t>
      </w:r>
      <w:r>
        <w:t xml:space="preserve"> växer på gamla aspar och sälgar i blandskogar med hög luftfuktighet. Slutavverkning och vedhuggning är de största hoten och lokaler bör undantas från rationell skogsskötsel. På lång sikt måste inslaget av asp öka i svensk skog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Fridlysta arter</w:t>
      </w:r>
    </w:p>
    <w:p>
      <w:r>
        <w:t>Följande fridlysta arter har sina livsmiljöer och växtplatser i den avverkningsanmälda skogen: knärot (VU, §8), svartvit flugsnappare (NT,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9 fyndplatser för knärot registrerade på Artportalen. Figur 2 visar gränserna för buffertzoner på 50 m, som behöver lämnas kring fyndplatserna för att knärotslokalerna inte ska försvinna vid en avverkning. Av det avverkningsanmälda området överlappar 5.24 ha med buffertzonerna och får av detta skäl inte avverkas.</w:t>
      </w:r>
    </w:p>
    <w:p>
      <w:pPr>
        <w:pStyle w:val="Caption"/>
      </w:pPr>
      <w:r>
        <w:drawing>
          <wp:inline xmlns:a="http://schemas.openxmlformats.org/drawingml/2006/main" xmlns:pic="http://schemas.openxmlformats.org/drawingml/2006/picture">
            <wp:extent cx="5486400" cy="4834012"/>
            <wp:docPr id="2" name="Picture 2"/>
            <wp:cNvGraphicFramePr>
              <a:graphicFrameLocks noChangeAspect="1"/>
            </wp:cNvGraphicFramePr>
            <a:graphic>
              <a:graphicData uri="http://schemas.openxmlformats.org/drawingml/2006/picture">
                <pic:pic>
                  <pic:nvPicPr>
                    <pic:cNvPr id="0" name="A 49184-2022 karta knärot.png"/>
                    <pic:cNvPicPr/>
                  </pic:nvPicPr>
                  <pic:blipFill>
                    <a:blip r:embed="rId17"/>
                    <a:stretch>
                      <a:fillRect/>
                    </a:stretch>
                  </pic:blipFill>
                  <pic:spPr>
                    <a:xfrm>
                      <a:off x="0" y="0"/>
                      <a:ext cx="5486400" cy="483401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6919988, E 520574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