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20269-2024 i Ånge kommun</w:t>
      </w:r>
    </w:p>
    <w:p>
      <w:r>
        <w:t>Denna tillsynsbegäran behandlar höga naturvärden i avverkningsanmälan A 20269-2024 i Ånge kommun som inkom 2024-05-22 och omfattar 13,9 ha.</w:t>
      </w:r>
    </w:p>
    <w:p>
      <w:pPr>
        <w:pStyle w:val="Caption"/>
      </w:pPr>
      <w:r>
        <w:drawing>
          <wp:inline xmlns:a="http://schemas.openxmlformats.org/drawingml/2006/main" xmlns:pic="http://schemas.openxmlformats.org/drawingml/2006/picture">
            <wp:extent cx="5397550" cy="5724000"/>
            <wp:docPr id="1" name="Picture 1"/>
            <wp:cNvGraphicFramePr>
              <a:graphicFrameLocks noChangeAspect="1"/>
            </wp:cNvGraphicFramePr>
            <a:graphic>
              <a:graphicData uri="http://schemas.openxmlformats.org/drawingml/2006/picture">
                <pic:pic>
                  <pic:nvPicPr>
                    <pic:cNvPr id="0" name="A 20269-2024 karta.png"/>
                    <pic:cNvPicPr/>
                  </pic:nvPicPr>
                  <pic:blipFill>
                    <a:blip r:embed="rId16"/>
                    <a:stretch>
                      <a:fillRect/>
                    </a:stretch>
                  </pic:blipFill>
                  <pic:spPr>
                    <a:xfrm>
                      <a:off x="0" y="0"/>
                      <a:ext cx="5397550" cy="5724000"/>
                    </a:xfrm>
                    <a:prstGeom prst="rect"/>
                  </pic:spPr>
                </pic:pic>
              </a:graphicData>
            </a:graphic>
          </wp:inline>
        </w:drawing>
      </w:r>
    </w:p>
    <w:p>
      <w:pPr>
        <w:pStyle w:val="Caption"/>
        <w:spacing w:after="240"/>
      </w:pPr>
      <w:r>
        <w:t>Figur 1. Fyndplatser för naturvårdsarter i och inom 21 meter från avverkningsanmälan. Markörer utan svart kant är placerade på fyndplatsen. Markörer med svart kant är placerade vid sidan av fyndplatsen och har ett svart streck som visar fyndplatsens exakta position. Kartans mittpunktskoordinat är N 6936705, E 494024 i SWEREF 99 TM.</w:t>
      </w:r>
    </w:p>
    <w:p>
      <w:r>
        <w:t>I och inom 21 meter från avverkningsanmälan finns fynd av 20 naturvårdsarter, varav 15 är rödlistade, 4 är fridlysta, 15 är typiska (T) och 4 är signalarter (S): garnlav (VU, T), gräddporing (VU, T), knärot (VU, T, §8), blågrå svartspik (NT), dropptaggsvamp (NT, T), dvärgbägarlav (NT, T), kortskaftad ärgspik (NT), lunglav (NT, T), mörk kolflarnlav (NT), nordtagging (NT), talltita (NT, §4), tretåig hackspett (NT, T, §4), vedskivlav (NT, T), vedtrappmossa (NT, T), violettgrå tagellav (NT, T), barkkornlav (S, T), korallblylav (S, T), stuplav (S, T), vedticka (S, T) och tjäder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20 fyndplatser för knärot registrerade på Artportalen. Figur 2 visar gränserna för buffertzoner på 50 m, som behöver lämnas kring fyndplatserna för att knärotslokalerna inte ska försvinna vid en avverkning. Av det avverkningsanmälda området överlappar 4.74 ha med buffertzonerna och får av detta skäl inte avverkas.</w:t>
      </w:r>
    </w:p>
    <w:p>
      <w:pPr>
        <w:pStyle w:val="Caption"/>
      </w:pPr>
      <w:r>
        <w:drawing>
          <wp:inline xmlns:a="http://schemas.openxmlformats.org/drawingml/2006/main" xmlns:pic="http://schemas.openxmlformats.org/drawingml/2006/picture">
            <wp:extent cx="5486400" cy="5454349"/>
            <wp:docPr id="2" name="Picture 2"/>
            <wp:cNvGraphicFramePr>
              <a:graphicFrameLocks noChangeAspect="1"/>
            </wp:cNvGraphicFramePr>
            <a:graphic>
              <a:graphicData uri="http://schemas.openxmlformats.org/drawingml/2006/picture">
                <pic:pic>
                  <pic:nvPicPr>
                    <pic:cNvPr id="0" name="A 20269-2024 karta knärot.png"/>
                    <pic:cNvPicPr/>
                  </pic:nvPicPr>
                  <pic:blipFill>
                    <a:blip r:embed="rId17"/>
                    <a:stretch>
                      <a:fillRect/>
                    </a:stretch>
                  </pic:blipFill>
                  <pic:spPr>
                    <a:xfrm>
                      <a:off x="0" y="0"/>
                      <a:ext cx="5486400" cy="5454349"/>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6936705, E 494024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r>
        <w:rPr>
          <w:b/>
        </w:rPr>
        <w:t>Barkkornlav</w:t>
      </w:r>
      <w:r>
        <w:t xml:space="preserve"> växer på bark av bl.a. gran, ek, al, asp, rönn, sälg och en i ädellövskogar, granskogar, barr- och lövblandskogar med hög luftfuktighet. Barkkornlav är typisk art för </w:t>
      </w:r>
      <w:r>
        <w:rPr>
          <w:i/>
        </w:rPr>
        <w:t>9190 Näringsfattig ekskog</w:t>
      </w:r>
      <w:r>
        <w:t xml:space="preserve"> (SLU Artdatabanken, 2025).</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gräddporing (VU, T), knärot (VU, T, §8), dropptaggsvamp (NT, T), dvärgbägarlav (NT, T), lunglav (NT, T), tretåig hackspett (NT, T, §4), vedskivlav (NT, T), vedtrappmossa (NT, T), violettgrå tagellav (NT, T), barkkornlav (S, T), korallblylav (S, T), stuplav (S, T), vedticka (S, T)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3" name="Picture 3"/>
            <wp:cNvGraphicFramePr>
              <a:graphicFrameLocks noChangeAspect="1"/>
            </wp:cNvGraphicFramePr>
            <a:graphic>
              <a:graphicData uri="http://schemas.openxmlformats.org/drawingml/2006/picture">
                <pic:pic>
                  <pic:nvPicPr>
                    <pic:cNvPr id="0" name="uppföljning av västlig taiga.jpeg"/>
                    <pic:cNvPicPr/>
                  </pic:nvPicPr>
                  <pic:blipFill>
                    <a:blip r:embed="rId18"/>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 Id="rId18"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