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35437-2022 i Ånge kommun</w:t>
      </w:r>
    </w:p>
    <w:p>
      <w:r>
        <w:t>Denna tillsynsbegäran behandlar höga naturvärden i avverkningsanmälan A 35437-2022 i Ånge kommun som inkom 2022-08-25 och omfattar 15,0 ha.</w:t>
      </w:r>
    </w:p>
    <w:p>
      <w:pPr>
        <w:pStyle w:val="Caption"/>
      </w:pPr>
      <w:r>
        <w:drawing>
          <wp:inline xmlns:a="http://schemas.openxmlformats.org/drawingml/2006/main" xmlns:pic="http://schemas.openxmlformats.org/drawingml/2006/picture">
            <wp:extent cx="5486400" cy="4474614"/>
            <wp:docPr id="1" name="Picture 1"/>
            <wp:cNvGraphicFramePr>
              <a:graphicFrameLocks noChangeAspect="1"/>
            </wp:cNvGraphicFramePr>
            <a:graphic>
              <a:graphicData uri="http://schemas.openxmlformats.org/drawingml/2006/picture">
                <pic:pic>
                  <pic:nvPicPr>
                    <pic:cNvPr id="0" name="A 35437-2022 karta.png"/>
                    <pic:cNvPicPr/>
                  </pic:nvPicPr>
                  <pic:blipFill>
                    <a:blip r:embed="rId16"/>
                    <a:stretch>
                      <a:fillRect/>
                    </a:stretch>
                  </pic:blipFill>
                  <pic:spPr>
                    <a:xfrm>
                      <a:off x="0" y="0"/>
                      <a:ext cx="5486400" cy="447461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6927591, E 500088 i SWEREF 99 TM.</w:t>
      </w:r>
    </w:p>
    <w:p>
      <w:r>
        <w:t>I och inom 21 meter från avverkningsanmälan finns fynd av 23 naturvårdsarter, varav 11 är rödlistade, 9 är fridlysta, 18 är typiska (T) och 6 är signalarter (S): garnlav (VU, T), gräddporing (VU, T), knärot (VU, T, §8), dvärgbägarlav (NT, T), kolflarnlav (NT, T), lunglav (NT, T), talltita (NT, §4), tretåig hackspett (NT, T, §4), ullticka (NT, T), vedtrappmossa (NT, T), violmussling (NT, T), barkticka (S, T), gytterlav (S, T), korallblylav (S, T), norrlandslav (S, T), stuplav (S, T), vedticka (S, T), järpe (T, §4), tjäder (T, §4), fiskgjuse (§4), kungsfågel (§4), svartvit flugsnappare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57 fyndplatser för knärot registrerade på Artportalen. Figur 2 visar gränserna för buffertzoner på 50 m, som behöver lämnas kring fyndplatserna för att knärotslokalerna inte ska försvinna vid en avverkning. Av det avverkningsanmälda området överlappar 12.64 ha med buffertzonerna och får av detta skäl inte avverkas.</w:t>
      </w:r>
    </w:p>
    <w:p>
      <w:pPr>
        <w:pStyle w:val="Caption"/>
      </w:pPr>
      <w:r>
        <w:drawing>
          <wp:inline xmlns:a="http://schemas.openxmlformats.org/drawingml/2006/main" xmlns:pic="http://schemas.openxmlformats.org/drawingml/2006/picture">
            <wp:extent cx="5486400" cy="5681646"/>
            <wp:docPr id="2" name="Picture 2"/>
            <wp:cNvGraphicFramePr>
              <a:graphicFrameLocks noChangeAspect="1"/>
            </wp:cNvGraphicFramePr>
            <a:graphic>
              <a:graphicData uri="http://schemas.openxmlformats.org/drawingml/2006/picture">
                <pic:pic>
                  <pic:nvPicPr>
                    <pic:cNvPr id="0" name="A 35437-2022 karta knärot.png"/>
                    <pic:cNvPicPr/>
                  </pic:nvPicPr>
                  <pic:blipFill>
                    <a:blip r:embed="rId17"/>
                    <a:stretch>
                      <a:fillRect/>
                    </a:stretch>
                  </pic:blipFill>
                  <pic:spPr>
                    <a:xfrm>
                      <a:off x="0" y="0"/>
                      <a:ext cx="5486400" cy="56816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6927591, E 500088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dvärgbägarlav (NT, T), kolflarnlav (NT, T), lunglav (NT, T), tretåig hackspett (NT, T, §4), ullticka (NT, T), vedtrappmossa (NT, T), violmussling (NT, T), barkticka (S, T), gytterlav (S, T), korallblylav (S, T), norrlandslav (S, T), stuplav (S, T), vedticka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