
<file path=[Content_Types].xml><?xml version="1.0" encoding="utf-8"?>
<Types xmlns="http://schemas.openxmlformats.org/package/2006/content-types">
  <Default Extension="jpeg" ContentType="image/jpeg"/>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avverkningsanmälan A 31113-2025 i Ånge kommun</w:t>
      </w:r>
    </w:p>
    <w:p>
      <w:r>
        <w:t>Denna tillsynsbegäran behandlar höga naturvärden i avverkningsanmälan A 31113-2025 i Ånge kommun som inkom 2025-06-24 och omfattar 1,5 ha.</w:t>
      </w:r>
    </w:p>
    <w:p>
      <w:pPr>
        <w:pStyle w:val="Caption"/>
      </w:pPr>
      <w:r>
        <w:drawing>
          <wp:inline xmlns:a="http://schemas.openxmlformats.org/drawingml/2006/main" xmlns:pic="http://schemas.openxmlformats.org/drawingml/2006/picture">
            <wp:extent cx="5422148" cy="5724000"/>
            <wp:docPr id="1" name="Picture 1"/>
            <wp:cNvGraphicFramePr>
              <a:graphicFrameLocks noChangeAspect="1"/>
            </wp:cNvGraphicFramePr>
            <a:graphic>
              <a:graphicData uri="http://schemas.openxmlformats.org/drawingml/2006/picture">
                <pic:pic>
                  <pic:nvPicPr>
                    <pic:cNvPr id="0" name="A 31113-2025 karta.png"/>
                    <pic:cNvPicPr/>
                  </pic:nvPicPr>
                  <pic:blipFill>
                    <a:blip r:embed="rId16"/>
                    <a:stretch>
                      <a:fillRect/>
                    </a:stretch>
                  </pic:blipFill>
                  <pic:spPr>
                    <a:xfrm>
                      <a:off x="0" y="0"/>
                      <a:ext cx="5422148" cy="5724000"/>
                    </a:xfrm>
                    <a:prstGeom prst="rect"/>
                  </pic:spPr>
                </pic:pic>
              </a:graphicData>
            </a:graphic>
          </wp:inline>
        </w:drawing>
      </w:r>
    </w:p>
    <w:p>
      <w:pPr>
        <w:pStyle w:val="Caption"/>
        <w:spacing w:after="240"/>
      </w:pPr>
      <w:r>
        <w:t>Figur 1. Fyndplatser för naturvårdsarter i och inom 14 meter från avverkningsanmälan. Markörer utan svart kant är placerade på fyndplatsen. Markörer med svart kant är placerade vid sidan av fyndplatsen och har ett svart streck som visar fyndplatsens exakta position. Kartans mittpunktskoordinat är N 6940010, E 536921 i SWEREF 99 TM.</w:t>
      </w:r>
    </w:p>
    <w:p>
      <w:r>
        <w:t>I och inom 14 meter från avverkningsanmälan finns fynd av 15 naturvårdsarter, varav 5 är rödlistade, 5 är fridlysta, 6 är typiska (T) och 6 är signalarter (S): brunklöver (NT), månlåsbräken (NT), skogsklocka (NT), sotvaxskivling (NT), talltita (NT, §4), finbräken (S, T), guckusko (S, T, §7), kransrams (S, T), rödgul trumpetsvamp (S), trådfräken (S), tvåblad (S, §8), järpe (T, §4), kransmossa (T), liljekonvalj (T) och brudsporre (§8).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begär vidare att Skogsstyrelsen säkerställer att inga skador eller försämringar av naturtypens bevarandestatus i området tillåts ske. Se Rådets direktiv 92/43/EEG samt ickeförsämringskravet i EU:s naturrestaureringsförordning (EU 2024/1991).</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Sotvaxskivling (NT)</w:t>
      </w:r>
      <w:r>
        <w:t xml:space="preserve"> bildar mykorrhiza med gran och tall i barrskogar med lång trädkontinuitet. Den totala populationen i landet har minskat och bedöms fortsätta minska till följd av avverkning av äldre barrskogar. Arten har begränsad förmåga att återetablera sig efter slutavverkning eller andra storskaliga skogsbruksåtgärder. Det finns inga indikationer på att den långsiktigt kan etablera eller reproducera sig i skogsbestånd som brukas med trakthyggesmetoder, markberedning, gödsling eller föryngring med förädlat plantmaterial (SLU Artdatabanken, 2026).</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rPr>
          <w:b/>
        </w:rPr>
        <w:t>Finbräken</w:t>
      </w:r>
      <w:r>
        <w:t xml:space="preserve"> växer på kalkrika marker i frisk eller fuktig mulljord. Den kräver konstant hög luftfuktighet och är mycket känslig för skogsbruksåtgärder. Arten är placerad högst upp i Skogsstyrelsens värdepyramid för bedömning av skog med höga naturvärden och utgör en karaktärsart för de mest skyddsvärda kalkgranskogarna med långvarig ekologisk kontinuitet och högt skyddsvärde. Finbräken är typisk art för </w:t>
      </w:r>
      <w:r>
        <w:rPr>
          <w:i/>
        </w:rPr>
        <w:t xml:space="preserve">9050 Näringsrik granskog </w:t>
      </w:r>
      <w:r>
        <w:t xml:space="preserve">och </w:t>
      </w:r>
      <w:r>
        <w:rPr>
          <w:i/>
        </w:rPr>
        <w:t xml:space="preserve">9040 Fjällbjörkskog </w:t>
      </w:r>
      <w:r>
        <w:t>(SLU Artdatabanken, 2024; Nitare &amp; Skogsstyrelsen, 2019).</w:t>
      </w:r>
    </w:p>
    <w:p>
      <w:r>
        <w:rPr>
          <w:b/>
        </w:rPr>
        <w:t>Guckusko (§7)</w:t>
      </w:r>
      <w:r>
        <w:t xml:space="preserve"> omfattas av EU:s art- och habitatdirektiv och är fridlyst enligt §7 Artskyddsförordningen (bilaga 1) vilket innebär att hela dess livsmiljö ska bevaras. Guckusko är beroende av hög och jämn luftfuktighet i gamla, ostörda skogsmiljöer och är känslig för snabba förändringar av ljus-/vindförhållanden eller uttorkning. Den förekommer främst i skogar som inte påverkats av kraftig störning, till exempel slutavverkning, markberedning, körskador, gödsling eller dikning. Guckusko är rödlistad som nära hotad (NT) i den europeiska rödlistan och Sverige hyser mer än halva den beräknade populationen av arten i EU, vilket innebär att vi har ett internationellt ansvar för arten. Guckusko är typisk art för </w:t>
      </w:r>
      <w:r>
        <w:rPr>
          <w:i/>
        </w:rPr>
        <w:t>9050 Näringsrik granskog</w:t>
      </w:r>
      <w:r>
        <w:t xml:space="preserve"> (SLU Artdatabanken, 2021; IUCN, 2011).</w:t>
      </w:r>
    </w:p>
    <w:p>
      <w:r>
        <w:rPr>
          <w:b/>
        </w:rPr>
        <w:t>Kransrams</w:t>
      </w:r>
      <w:r>
        <w:t xml:space="preserve"> är typisk art för </w:t>
      </w:r>
      <w:r>
        <w:rPr>
          <w:i/>
        </w:rPr>
        <w:t xml:space="preserve">9020 Nordlig ädellövskog </w:t>
      </w:r>
      <w:r>
        <w:t>(SLU Artdatabanken, 2025).</w:t>
      </w:r>
    </w:p>
    <w:p>
      <w:r>
        <w:rPr>
          <w:b/>
        </w:rPr>
        <w:t xml:space="preserve">Rödgul trumpetsvamp </w:t>
      </w:r>
      <w:r>
        <w:t>signalerar kalkrika barrsumpskogar eller avgränsade små mineralrika ytor i barrskogslandskapet, vilka normalt har höga naturvärden. I urbergsbygder är den en bra signalart på känsliga skogsbiotoper (Nitare &amp; Skogsstyrelsen, 2019).</w:t>
      </w:r>
    </w:p>
    <w:p>
      <w:r>
        <w:rPr>
          <w:b/>
        </w:rPr>
        <w:t>Järpe (§4)</w:t>
      </w:r>
      <w:r>
        <w:t xml:space="preserve">, som är upptagen i bilaga 1 och 2 EU:s fågeldirektiv, är mycket stationär inom sitt revir som är minst 25 hektar stort. Livsmiljöerna utgörs av tät barrskog med inblandning av lövträd och en väl utvecklad flerskiktad struktur med bärris och yngre eller undertryckta, täta granar i ett lägre skikt, ofta utmed bäckar och åar inne i den skyddande granskogen. Den överlever inte om dess livsmiljö kalavverkas och är även känslig för röjning, gallring och avverkning där unga granar och lövträd inte sparas i tillräcklig omfattning. Arten finns i sammanhängande grandominerad skog över hela Sverige men förekomsterna är betydligt glesare i Götaland än i övriga landet. Järpe är typisk art för </w:t>
      </w:r>
      <w:r>
        <w:rPr>
          <w:i/>
        </w:rPr>
        <w:t xml:space="preserve">9010 Taiga, 9080 Lövsumpskog </w:t>
      </w:r>
      <w:r>
        <w:t xml:space="preserve">och </w:t>
      </w:r>
      <w:r>
        <w:rPr>
          <w:i/>
        </w:rPr>
        <w:t xml:space="preserve">9740 Skogsbevuxen myr </w:t>
      </w:r>
      <w:r>
        <w:t>(SLU Artdatabanken, 2026).</w:t>
      </w:r>
    </w:p>
    <w:p>
      <w:r>
        <w:rPr>
          <w:b/>
        </w:rPr>
        <w:t>Kransmossa</w:t>
      </w:r>
      <w:r>
        <w:t xml:space="preserve"> är typisk art för </w:t>
      </w:r>
      <w:r>
        <w:rPr>
          <w:i/>
        </w:rPr>
        <w:t xml:space="preserve">9050 Näringsrik granskog </w:t>
      </w:r>
      <w:r>
        <w:t xml:space="preserve">och </w:t>
      </w:r>
      <w:r>
        <w:rPr>
          <w:i/>
        </w:rPr>
        <w:t xml:space="preserve">6170 Alpina kalkgräsmarker </w:t>
      </w:r>
      <w:r>
        <w:t>(SLU Artdatabanken, 2025).</w:t>
      </w:r>
    </w:p>
    <w:p>
      <w:r>
        <w:rPr>
          <w:b/>
        </w:rPr>
        <w:t>Liljekonvalj</w:t>
      </w:r>
      <w:r>
        <w:t xml:space="preserve"> är typisk art för </w:t>
      </w:r>
      <w:r>
        <w:rPr>
          <w:i/>
        </w:rPr>
        <w:t>9190 Näringsfattig ekskog</w:t>
      </w:r>
      <w:r>
        <w:t>. På liljekonvalj kan man hitta rostsvampen konvaljerost (NE) (SLU Artdatabanken, 2025).</w:t>
      </w:r>
    </w:p>
    <w:p>
      <w:pPr>
        <w:pStyle w:val="Heading1"/>
      </w:pPr>
      <w:r>
        <w:t>EU:s fågeldirektiv</w:t>
      </w:r>
    </w:p>
    <w:p>
      <w:r>
        <w:t xml:space="preserve">Europeiska unionens medlemsländer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pPr>
        <w:pStyle w:val="Heading1"/>
      </w:pPr>
      <w:r>
        <w:t>Typiska arter och EU:s art- och habitatdirektiv</w:t>
      </w:r>
    </w:p>
    <w:p>
      <w:r>
        <w:t>Typiska arter används för att lokalisera områden med gynnsam bevarandestatus för de naturtyper som är listade i EU:s art- och habitatdirektiv. Ett exempel är Västlig taiga (EU-kod 9010) som saknar gynnsam bevarandestatus och minskar starkt som naturtyp i Sverige. Naturvårdsverket skriver i sin vägledning för Västlig taiga att dylika miljöer förutsätter normalt att skogarna skyddas långsiktigt, eftersom skogsbruk inte är förenligt med bevarande av naturtypen i gynnsamt tillstånd (Naturvårdsverket, 2011).</w:t>
      </w:r>
    </w:p>
    <w:p>
      <w:r>
        <w:t>Följande typiska arter har sina livsmiljöer och växtplatser i den avverkningsanmälda skogen: finbräken (S, T), guckusko (S, T, §7), kransrams (S, T), järpe (T, §4), kransmossa (T) och liljekonvalj (T).</w:t>
      </w:r>
    </w:p>
    <w:p>
      <w:r>
        <w:t>Enligt Sveriges Artikel 17 rapportering 2013 och 2019 till EU, har naturtypen Västlig taiga (9010) dålig bevarandestatus med negativ trend inom Sveriges boreala region. Skogsbruksåtgärder som avverkning, röjning och gallring pekas ut som några av de främst bidragande orsakerna till naturtypens dåliga status och negativa trend (SLU Artdatabanken, 2019). I EU:s uppföljning av tillståndet för naturtyperna i Skandinavien 2013 – 2018 framgår det att i den boreala regionen är tillståndet så dåligt för Västlig taiga (9010) att habitatet löper allvarlig risk att försvinna regionalt (EEA, 2022). Det allvarliga läget för den biologiska mångfalden i skogen framhålls även i Skogsstyren rapport 2026/07:</w:t>
      </w:r>
    </w:p>
    <w:p>
      <w:r>
        <w:rPr>
          <w:i/>
        </w:rPr>
        <w:t>"All avverkning av kända skogliga värdekärnor och sannolika kontinuitetsskogar behöver upphöra för att fylla bristen om 1,56 miljoner hektar bevarad livsmiljötyp. På grund av begränsade kvarvarande arealer av värdekärnor, naturskogar och kontinuitetsskogar leder fortsatt förlust av dessa till en påtaglig risk för långsiktigt negativa effekter för biologisk mångfald i skogslandskapet. Att de återstående arealerna bevaras och ges ett långsiktigt skydd bedöms därför vara av avgörande betydelse."</w:t>
      </w:r>
      <w:r>
        <w:t xml:space="preserve"> (Skogsstyrelsen, 2026).</w:t>
      </w:r>
    </w:p>
    <w:p>
      <w:r>
        <w:t>Trots detta har statusen för Västlig taiga ändrats till otillräcklig i stället för dålig i den senaste Artikel 17 rapporteringen 2025. Av Naturvårdsverkets rapport framgår det dock att de ändrade statusbedömningarna jämfört med rapporteringen 2019 inte beror på faktiska miljöförändringar. Ändringarna är av teknisk karaktär och främst en följd av resultaten från genomförda regeringsuppdrag och beslut inför rapporteringen 2025. Det är alltså politisk styrning i stället för faktiska förhållanden i naturen som ändrat på naturtypernas status i rapporteringen, vilket rimmar dåligt med såväl art- och habitatdirektivets syften och mål som med naturrestaureringsförordningen. I praktiken har dock Sveriges nya sätt att rapportera bevarandestatus till EU inte någon betydelse eftersom Naturvårdsverkets rapportering 2025 visar att Västlig taiga</w:t>
      </w:r>
      <w:r>
        <w:rPr>
          <w:b/>
        </w:rPr>
        <w:t xml:space="preserve"> </w:t>
      </w:r>
      <w:r>
        <w:t>inte har gynnsam bevarandestatus.</w:t>
      </w:r>
    </w:p>
    <w:p>
      <w:r>
        <w:t>Åtgärder som vidtas i enlighet med art- och habitatdirektivet ska enligt Artikel 2 syfta till att bibehålla eller återställa en gynnsam bevarandestatus hos livsmiljöer samt arter och vilda djur och växter av gemenskapsintresse. Enligt prejudikat från EU-domstolen ska en skogsbruksverksamhet utföras på ett sådant sätt som utgör ett förebyggande och hållbart skogsbruk för att betraktas som förenlig med bevarandekraven i direktivet (se EU-domstolens dom i de förenade målen C 473-19 och C 474-19).</w:t>
      </w:r>
    </w:p>
    <w:p>
      <w:r>
        <w:t xml:space="preserve">Av artikel 1.e samma direktiv framgår att en livsmiljös bevarandestatus anses " gynnsam" när — dess naturliga utbredningsområde och de ytor den täcker inom detta område är stabila eller ökande, och — den särskilda struktur och de särskilda funktioner som är nödvändiga för att den skall kunna bibehållas på lång sikt finns, och sannolikt kommer att finnas under en överskådlig framtid, och — bevarandestatusen hos dess </w:t>
      </w:r>
      <w:r>
        <w:rPr>
          <w:b/>
        </w:rPr>
        <w:t>typiska arter</w:t>
      </w:r>
      <w:r>
        <w:t xml:space="preserve"> är gynnsam enligt definitionen i artikel 1.i.</w:t>
      </w:r>
    </w:p>
    <w:p>
      <w:r>
        <w:t>EU-direktiv är bindande för EU:s medlemsländer varvid det ankommer på Skogsstyrelsen som nationell tillsynsmyndighet att beakta syftet med EU:s art- och habitatdirektiv vid prövningen av en skogsbruksverksamhet, se Rådets direktiv 92/43/EEG. Se ytterligare information om EU:s livsmiljödirektiv i bilaga 2.</w:t>
      </w:r>
    </w:p>
    <w:p>
      <w:r>
        <w:br w:type="page"/>
      </w:r>
    </w:p>
    <w:p>
      <w:pPr>
        <w:pStyle w:val="Title"/>
      </w:pPr>
      <w:r>
        <w:t>BILAGA 1 – Fridlysta arter</w:t>
      </w:r>
    </w:p>
    <w:p>
      <w:pPr>
        <w:pStyle w:val="Heading1"/>
      </w:pPr>
      <w:r>
        <w:t>Talltita – ekologi samt krav på livsmiljön</w:t>
      </w:r>
    </w:p>
    <w:p>
      <w:r>
        <w:t>Talltita är rödlistad som NT, fridlyst och prioriterad art i Skogsvårdslagen. Den omfattas av EU:s fågeldirektiv. Arten har minskat kraftigt de senaste 30 åren och minskningstakten innevarande 10-årsperiod beräknas till 20 (10–30) % (SLU Artdatabanken, 2022).</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For. Ecol. Manage. 319, 169–175.</w:t>
      </w:r>
    </w:p>
    <w:p>
      <w:r>
        <w:t xml:space="preserve">Ekman, J., 1979. </w:t>
      </w:r>
      <w:r>
        <w:rPr>
          <w:i/>
        </w:rPr>
        <w:t xml:space="preserve">Coherence, composition and territories of winter social groups of the Willow Tit Parus montanus and the Crested Tit P. cristatus. </w:t>
      </w:r>
      <w:r>
        <w:t>Ornis Scandinavica, 10, pp 56–68</w:t>
      </w:r>
    </w:p>
    <w:p>
      <w:r>
        <w:t xml:space="preserve">Griesser, M., Nystrand, M., Eggers, S., Ekman, J., 2007. </w:t>
      </w:r>
      <w:r>
        <w:rPr>
          <w:i/>
        </w:rPr>
        <w:t xml:space="preserve">Impact of forestry practices on fitness correlates and population productivity in an open-nesting bird species. </w:t>
      </w:r>
      <w:r>
        <w:t>Conserv. Biol. 21, 767–774. https://doi.org/10.1111/j.1523- 1739.2007.00675.x</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p>
      <w:pPr>
        <w:pStyle w:val="Heading1"/>
      </w:pPr>
      <w:r>
        <w:t>Guckusko – ekologi samt krav på livsmiljön</w:t>
      </w:r>
    </w:p>
    <w:p>
      <w:r>
        <w:t>Guckusko omfattas av EU:s art- och habitatdirektiv och är fridlyst enligt §7 Artskyddsförordningen (bilaga 1) vilket innebär att hela dess livsmiljö ska bevaras. Guckusko är beroende av hög och jämn luftfuktighet i gamla, ostörda skogsmiljöer och är känslig för snabba förändringar av ljus-/vindförhållanden eller uttorkning. Den förekommer främst i skogar som inte påverkats av kraftig störning, till exempel slutavverkning, markberedning, körskador, gödsling eller dikning (SLU Artdatabanken, 2021).Dikning och slutavverkning av guckuskons växtplatser är ett direkt hot mot arten och bör undvikas. Kalavverkning missgynnar arten, dels om hyggesavfall lämnas, vilket kan kväva enskilda bestånd, dels indirekt genom att mer konkurrensstarka arter gynnas. Körskador av skogsmaskiner och hyggesplöjning kan leda till lokalt ändrad hydrologi, då de mullrika, fuktiga jordarna är mjuka. Sverige hyser mer än halva den beräknade populationen av arten i EU, vilket innebär att vi har ett internationellt ansvar för arten (SLU Artdatabanken, 2021).</w:t>
      </w:r>
    </w:p>
    <w:p>
      <w:pPr>
        <w:pStyle w:val="Heading2"/>
      </w:pPr>
      <w:r>
        <w:t>Referenser – guckusko</w:t>
      </w:r>
    </w:p>
    <w:p>
      <w:r>
        <w:t xml:space="preserve">SLU Artdatabanken, 2021. </w:t>
      </w:r>
      <w:r>
        <w:rPr>
          <w:i/>
        </w:rPr>
        <w:t xml:space="preserve">Artfaktablad. Naturvård – artfakta. </w:t>
      </w:r>
      <w:r>
        <w:t>SLU Artdatabanken, Uppsala</w:t>
      </w:r>
    </w:p>
    <w:p>
      <w:pPr>
        <w:pStyle w:val="Heading1"/>
      </w:pPr>
      <w:r>
        <w:t>Järpe – ekologi samt krav på livsmiljön</w:t>
      </w:r>
    </w:p>
    <w:p>
      <w:r>
        <w:t>Järpe är fridlyst enligt 4§ artskyddsförordningen och upptagen i bilaga 1 och 2 EU:s fågeldirektiv. Den finns i sammanhängande grandominerad skog över hela Sverige men förekomsterna är betydligt glesare i Götaland än i övriga landet. Järpen har sina livsmiljöer i tät barrskog med inblandning av lövträd och en väl utvecklad flerskiktad struktur med bärris och yngre eller undertryckta, täta granar i ett lägre skikt, ofta utmed bäckar och åar inne i den skyddande granskogen (SLU Artdatabanken, 2026).</w:t>
      </w:r>
    </w:p>
    <w:p>
      <w:r>
        <w:t xml:space="preserve">Arten behöver lämpliga skogsbestånd om sammanlagt minst 25 hektar. Den är mycket stationär inom sitt revir och när ett par etablerat sig stannar de så länge miljön är intakt. Den undviker öppen mark och förﬂyttar sig sällan över större öppna myrar eller åkermark, och är därför känslig för fragmentering. Järpen överlever inte om dess livsmiljö kalavverkas och är även känslig för röjning, gallring och avverkning där unga granar och lövträd inte sparas i tillräcklig omfattning.  Järpe är typisk art för </w:t>
      </w:r>
      <w:r>
        <w:rPr>
          <w:i/>
        </w:rPr>
        <w:t>9010 Taiga, 9740 Skogsbevuxen myr</w:t>
      </w:r>
      <w:r>
        <w:t xml:space="preserve"> och </w:t>
      </w:r>
      <w:r>
        <w:rPr>
          <w:i/>
        </w:rPr>
        <w:t>9080 Lövsumpskog</w:t>
      </w:r>
      <w:r>
        <w:t xml:space="preserve"> (SLU Artdatabanken, 2026).</w:t>
      </w:r>
    </w:p>
    <w:p>
      <w:pPr>
        <w:pStyle w:val="Heading2"/>
      </w:pPr>
      <w:r>
        <w:t>Referenser – järpe</w:t>
      </w:r>
    </w:p>
    <w:p>
      <w:r>
        <w:t xml:space="preserve">SLU Artdatabanken, 2026. </w:t>
      </w:r>
      <w:r>
        <w:rPr>
          <w:i/>
        </w:rPr>
        <w:t xml:space="preserve">Artfaktablad. Naturvård – artfakta. </w:t>
      </w:r>
      <w:r>
        <w:t>SLU Artdatabanken, Uppsala</w:t>
      </w:r>
    </w:p>
    <w:p>
      <w:r>
        <w:br w:type="page"/>
      </w:r>
    </w:p>
    <w:p>
      <w:pPr>
        <w:pStyle w:val="Title"/>
      </w:pPr>
      <w:r>
        <w:t>BILAGA 2 – EU:s art- och habitatdirektiv, fågeldirektiv och naturrestaureringsförordning</w:t>
      </w:r>
    </w:p>
    <w:p>
      <w:pPr>
        <w:pStyle w:val="Heading2"/>
      </w:pPr>
      <w:r>
        <w:t>Förenlighet med EU-direktiv</w:t>
      </w:r>
    </w:p>
    <w:p>
      <w:r>
        <w:t>EU-direktiv är bindande för EU:s medlemsländer varvid det ankommer på Skogsstyrelsen som nationell tillsynsmyndighet att beakta syftet med EU:s art- och habitatdirektiv respektive fågeldirektiv vid prövningen av en skogsbruksverksamhet, se Rådets direktiv 92/43/EEG samt 2009/147/EG. Nationella regler som omfattas av ett EU-direktiv ska enligt fast rättspraxis tolkas i enlighet med direktivet, vilket medför en skyldighet för myndigheten att tolka bestämmelser i nationell rätt i ljuset av direktivets ordalydelse, sammanhang och de mål som eftersträvas med direktivet (se EU-domstolens dom i mål C 477/19).</w:t>
      </w:r>
    </w:p>
    <w:p>
      <w:r>
        <w:t>EU:s medlemsstater åläggs i Artikel 3 i fågeldirektivet generella skyldigheter avseende skydd, bevarande och återställande av tillräckligt stora och varierande livsmiljöer för de fågelarter som omfattas av direktivet. Medlemsstaterna ska vidta de åtgärder som är nödvändiga för att bibehålla populationen av fågelarterna på en nivå som svarar särskilt mot ekologiska, vetenskapliga och kulturella behov, eller återupprätta populationen av dessa arter till en sådan nivå (se Europaparlamentets och rådets direktiv 2009/147/EG).</w:t>
      </w:r>
    </w:p>
    <w:p>
      <w:r>
        <w:t>Åtgärder som vidtas i enlighet med art- och habitatdirektivet (92/43/EEG) ska enligt Artikel 2 syfta till att bibehålla eller återställa en gynnsam bevarandestatus hos livsmiljöer samt arter och vilda djur och växter av gemenskapsintresse. Enligt prejudikat från EU-domstolen ska en skogsbruksverksamhet utföras på ett sådant sätt som utgör ett förebyggande och hållbart skogsbruk för att betraktas som förenlig med bevarandekraven i direktivet (se EU-domstolens dom i de förenade målen C 473-19 och C 474-19).</w:t>
      </w:r>
    </w:p>
    <w:p>
      <w:r>
        <w:t xml:space="preserve">Av artikel 1.e samma direktiv framgår att en livsmiljös bevarandestatus anses " gynnsam" när — dess naturliga utbredningsområde och de ytor den täcker inom detta område är stabila eller ökande, och — den särskilda struktur och de särskilda funktioner som är nödvändiga för att den skall kunna bibehållas på lång sikt finns, och sannolikt kommer att finnas under en överskådlig framtid, och — bevarandestatusen hos dess </w:t>
      </w:r>
      <w:r>
        <w:rPr>
          <w:b/>
        </w:rPr>
        <w:t>typiska arter</w:t>
      </w:r>
      <w:r>
        <w:t xml:space="preserve"> är gynnsam enligt definitionen i artikel 1.i. Typiska arter används för att lokalisera områden med gynnsam bevarandestatus för de naturtyper som ingår i EU:s art- och habitatdirektiv.</w:t>
      </w:r>
    </w:p>
    <w:p>
      <w:r>
        <w:t>Västlig taiga (EU-kod 9010) saknar gynnsam bevarandestatus och minskar starkt som naturtyp i Sverige. Naturvårdsverket skriver i sin vägledning för västlig taiga att dylika miljöer förutsätter normalt att skogarna skyddas långsiktigt, eftersom skogsbruk inte är förenligt med bevarande av naturtypen i gynnsamt tillstånd (Naturvårdsverket, 2011). Enligt Sveriges Artikel 17 rapportering 2013 och 2019 till EU, har naturtypen Västlig taiga (9010) dålig bevarandestatus med negativ trend inom Sveriges boreala region. Skogsbruksåtgärder som avverkning, röjning och gallring pekas ut som några av de främst bidragande orsakerna till naturtypens dåliga status och negativa trend (SLU Artdatabanken, 2019). I EU:s uppföljning av tillståndet för naturtyperna i Skandinavien 2013 – 2018 framgår det att i den boreala regionen är tillståndet så dåligt för Västlig taiga (9010) att habitatet löper allvarlig risk att försvinna regionalt (EEA, 2022). Det allvarliga läget för den biologiska mångfalden i skogen framhålls även i Skogsstyren rapport 2026/07:</w:t>
      </w:r>
    </w:p>
    <w:p>
      <w:r>
        <w:rPr>
          <w:i/>
        </w:rPr>
        <w:t>"All avverkning av kända skogliga värdekärnor och sannolika kontinuitetsskogar behöver upphöra för att fylla bristen om 1,56 miljoner hektar bevarad livsmiljötyp. På grund av begränsade kvarvarande arealer av värdekärnor, naturskogar och kontinuitetsskogar leder fortsatt förlust av dessa till en påtaglig risk för långsiktigt negativa effekter för biologisk mångfald i skogslandskapet. Att de återstående arealerna bevaras och ges ett långsiktigt skydd bedöms därför vara av avgörande betydelse."</w:t>
      </w:r>
      <w:r>
        <w:t xml:space="preserve"> (Skogsstyrelsen, 2026).</w:t>
      </w:r>
    </w:p>
    <w:p>
      <w:pPr>
        <w:pStyle w:val="Caption"/>
      </w:pPr>
      <w:r>
        <w:drawing>
          <wp:inline xmlns:a="http://schemas.openxmlformats.org/drawingml/2006/main" xmlns:pic="http://schemas.openxmlformats.org/drawingml/2006/picture">
            <wp:extent cx="5486400" cy="2905862"/>
            <wp:docPr id="2" name="Picture 2"/>
            <wp:cNvGraphicFramePr>
              <a:graphicFrameLocks noChangeAspect="1"/>
            </wp:cNvGraphicFramePr>
            <a:graphic>
              <a:graphicData uri="http://schemas.openxmlformats.org/drawingml/2006/picture">
                <pic:pic>
                  <pic:nvPicPr>
                    <pic:cNvPr id="0" name="uppföljning av västlig taiga.jpeg"/>
                    <pic:cNvPicPr/>
                  </pic:nvPicPr>
                  <pic:blipFill>
                    <a:blip r:embed="rId17"/>
                    <a:stretch>
                      <a:fillRect/>
                    </a:stretch>
                  </pic:blipFill>
                  <pic:spPr>
                    <a:xfrm>
                      <a:off x="0" y="0"/>
                      <a:ext cx="5486400" cy="2905862"/>
                    </a:xfrm>
                    <a:prstGeom prst="rect"/>
                  </pic:spPr>
                </pic:pic>
              </a:graphicData>
            </a:graphic>
          </wp:inline>
        </w:drawing>
      </w:r>
    </w:p>
    <w:p>
      <w:pPr>
        <w:pStyle w:val="Caption"/>
      </w:pPr>
      <w:r>
        <w:t>EU:s uppföljning av tillståndet för naturtypen Västlig taiga 9010 i Skandinavien 2013 - 2018. Av kartan framgår det att i den boreala regionen är tillståndet så dåligt (röd färg) att habitatet löper allvarlig risk att försvinna regionalt. Källa: European Environment Agency. https:// eunis.eea.europoa.eu/habitats/10176.</w:t>
      </w:r>
    </w:p>
    <w:p>
      <w:r>
        <w:t>Trots det allvarliga läget har statusen för Västlig taiga ändrats till otillräcklig i stället för dålig i den senaste Artikel 17 rapporteringen 2025. Av Naturvårdsverkets rapport framgår det dock att de ändrade statusbedömningarna jämfört med rapporteringen 2019 inte beror på faktiska miljöförändringar. Ändringarna är av teknisk karaktär och främst en följd av resultaten från genomförda regeringsuppdrag och beslut inför rapporteringen 2025. Det är alltså politisk styrning i stället för faktiska förhållanden i naturen som ändrat på naturtypernas status i rapporteringen, vilket rimmar dåligt med såväl art- och habitatdirektivets syften och mål som med naturrestaureringsförordningen. I praktiken har dock Sveriges nya sätt att rapportera bevarandestatus till EU inte någon betydelse eftersom Naturvårdsverkets rapportering 2025 visar att Västlig taiga inte har gynnsam bevarandestatus.</w:t>
      </w:r>
    </w:p>
    <w:p>
      <w:pPr>
        <w:pStyle w:val="Heading2"/>
      </w:pPr>
      <w:r>
        <w:t>EU:s naturrestaureringsförordning</w:t>
      </w:r>
    </w:p>
    <w:p>
      <w:r>
        <w:t>Enligt EU:s naturrestaureringsförordning (EU 2024/1991) ska minst 20 % av landområden och minst 20 % av havsarealen vara restaurerad senast 2030, samt alla ekosystem som är i behov av restaurering senast 2050. Det framgår också av förordningen att det är viktigt att livsmiljötyperna inte försämras innan eller efter att restaureringar genomförts, se exempelvis punkt 37 förordningen.</w:t>
      </w:r>
    </w:p>
    <w:p>
      <w:r>
        <w:t>”</w:t>
      </w:r>
      <w:r>
        <w:rPr>
          <w:i/>
        </w:rPr>
        <w:t>Det är viktigt att medlemsstaterna vidtar åtgärder som syftar till att säkerställa att tillståndet för områden som täcks av livsmiljötyper som omfattas av denna förordning och som omfattas av restaureringsåtgärder uppvisar en kontinuerlig förbättring till dess att de uppnår ett gott tillstånd, och att medlemsstaterna vidtar åtgärder som syftar till att säkerställa att dessa livsmiljötyper, när de har uppnått ett gott tillstånd, inte försämras avsevärt, så att det långsiktiga bibehållandet eller uppnåendet av gott tillstånd inte äventyras. (..) Det är också viktigt att medlemsstaterna anstränger sig för att förhindra avsevärd försämring av områden som täcks av sådana livsmiljötyper som antingen redan är i gott skick eller som inte är i gott skick men ännu inte omfattas av restaureringsåtgärder.”</w:t>
      </w:r>
    </w:p>
    <w:p>
      <w:r>
        <w:rPr>
          <w:b/>
          <w:i/>
        </w:rPr>
        <w:t>Artikel 4(12):</w:t>
      </w:r>
    </w:p>
    <w:p>
      <w:r>
        <w:rPr>
          <w:i/>
        </w:rPr>
        <w:t>Utan att det påverkar tillämpningen av direktiv 92/43/EEG ska medlemsstaterna, senast den dag då deras nationella restaureringsplaner offentliggörs i enlighet med artikel 17.6 i denna förordning, eftersträva att genomföra de åtgärder som krävs för att förhindra avsevärd försämring av områden där de livsmiljötyper som förtecknas i bilaga I till denna förordning förekommer och som är i gott tillstånd eller som krävs för att uppnå de restaureringsmål som anges i punkt 17 i den här artikeln.</w:t>
      </w:r>
    </w:p>
    <w:p>
      <w:r>
        <w:rPr>
          <w:b/>
          <w:i/>
        </w:rPr>
        <w:t>Artikel 4 (17).   Medlemsstaterna ska säkerställa</w:t>
      </w:r>
    </w:p>
    <w:p>
      <w:r>
        <w:rPr>
          <w:i/>
        </w:rPr>
        <w:t>a) en ökning av arealen i gott tillstånd för de livsmiljötyper som förtecknas i bilaga I till dess att minst 90 % är i gott tillstånd och till dess att den gynnsamma referensarealen för varje livsmiljötyp i varje biogeografisk region inom den berörda medlemsstaten har uppnåtts.</w:t>
      </w:r>
    </w:p>
    <w:p>
      <w:r>
        <w:t>Referenser</w:t>
      </w:r>
    </w:p>
    <w:p>
      <w:r>
        <w:t xml:space="preserve">EEA European Environment Agency, 2022. </w:t>
      </w:r>
      <w:r>
        <w:rPr>
          <w:i/>
        </w:rPr>
        <w:t xml:space="preserve">Western taiga – Conservation status 2013-2018. </w:t>
      </w:r>
      <w:r>
        <w:t>https:// eunis.eea.europoa.eu/habitats/10176.</w:t>
      </w:r>
    </w:p>
    <w:p>
      <w:r>
        <w:t>EU-domstolens dom av den 2 juli 2020 i målet C 477/19 (Europeisk hamster) p. 23.</w:t>
      </w:r>
    </w:p>
    <w:p>
      <w:r>
        <w:t>EU-domstolens dom av den 4 mars 2021 i de förenade målen C 473-19 och C 474-19 (Skydda skogen) p. 70 och 76.</w:t>
      </w:r>
    </w:p>
    <w:p>
      <w:r>
        <w:t>Europaparlamentets och rådets direktiv 2009/147/EG av den 30 november 2009 om bevarande av vilda fåglar.</w:t>
      </w:r>
    </w:p>
    <w:p>
      <w:r>
        <w:t>EUROPAPARLAMENTETS OCH RÅDETS FÖRORDNING (EU) 2024/1991 av den 24 juni 2024 om restaurering av natur och om ändring av förordning (EU) 2022/869.</w:t>
      </w:r>
    </w:p>
    <w:p>
      <w:r>
        <w:t>Rådets direktiv 92/43/EEG av den 21 mj 1992 om bevarande av livsmiljöer samt vilda djur och växter.</w:t>
      </w:r>
    </w:p>
    <w:p>
      <w:r>
        <w:t xml:space="preserve">Skogsstyrelsen, 2026. </w:t>
      </w:r>
      <w:r>
        <w:rPr>
          <w:i/>
        </w:rPr>
        <w:t>Biologisk mångfald i skogen.</w:t>
      </w:r>
      <w:r>
        <w:t xml:space="preserve"> Rapport 2026/07.</w:t>
      </w:r>
    </w:p>
    <w:p>
      <w:r>
        <w:t xml:space="preserve">SLU Artdatabanken, 2019. </w:t>
      </w:r>
      <w:r>
        <w:rPr>
          <w:i/>
        </w:rPr>
        <w:t>Sveriges arter och naturtyper i EU:s art- och habitatdirektiv.</w:t>
      </w:r>
      <w:r>
        <w:t xml:space="preserve"> Resultat från rapportering 2019 till EU av bevarandestatus 2013-2018.</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2026-09-07</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jpe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