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21592-2026 i Ånge kommun</w:t>
      </w:r>
    </w:p>
    <w:p>
      <w:r>
        <w:t>Detta dokument behandlar höga naturvärden i avverkningsanmälan A 21592-2026 i Ånge kommun. Denna avverkningsanmälan inkom 2026-05-07 08:18:20 och omfattar 19,7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långskägg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1095"/>
            <wp:docPr id="1" name="Picture 1"/>
            <wp:cNvGraphicFramePr>
              <a:graphicFrameLocks noChangeAspect="1"/>
            </wp:cNvGraphicFramePr>
            <a:graphic>
              <a:graphicData uri="http://schemas.openxmlformats.org/drawingml/2006/picture">
                <pic:pic>
                  <pic:nvPicPr>
                    <pic:cNvPr id="0" name="A 21592-2026 karta.png"/>
                    <pic:cNvPicPr/>
                  </pic:nvPicPr>
                  <pic:blipFill>
                    <a:blip r:embed="rId16"/>
                    <a:stretch>
                      <a:fillRect/>
                    </a:stretch>
                  </pic:blipFill>
                  <pic:spPr>
                    <a:xfrm>
                      <a:off x="0" y="0"/>
                      <a:ext cx="5486400" cy="592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6911470, E 560800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långskägg (VU, §8).</w:t>
      </w:r>
    </w:p>
    <w:p>
      <w:r>
        <w:rPr>
          <w:b/>
        </w:rPr>
        <w:t>Långskägg (EN, §8)</w:t>
      </w:r>
      <w:r>
        <w:t xml:space="preserve"> är en exklusiv och starkt hotad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Det finns även en akut hotad gelésvamp, </w:t>
      </w:r>
      <w:r>
        <w:rPr>
          <w:i/>
        </w:rPr>
        <w:t>Tremella confluens</w:t>
      </w:r>
      <w:r>
        <w:t xml:space="preserve"> (CR), som är associerad med långskägg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