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20269-2024 i Ånge kommun</w:t>
      </w:r>
    </w:p>
    <w:p>
      <w:r>
        <w:t>Detta klagomål behandlar höga naturvärden i avverkningsanmälan A 20269-2024 i Ånge kommun som inkom 2024-05-22 och omfattar 13,9 ha.</w:t>
      </w:r>
    </w:p>
    <w:p>
      <w:pPr>
        <w:pStyle w:val="Caption"/>
      </w:pPr>
      <w:r>
        <w:drawing>
          <wp:inline xmlns:a="http://schemas.openxmlformats.org/drawingml/2006/main" xmlns:pic="http://schemas.openxmlformats.org/drawingml/2006/picture">
            <wp:extent cx="5397550" cy="5724000"/>
            <wp:docPr id="1" name="Picture 1"/>
            <wp:cNvGraphicFramePr>
              <a:graphicFrameLocks noChangeAspect="1"/>
            </wp:cNvGraphicFramePr>
            <a:graphic>
              <a:graphicData uri="http://schemas.openxmlformats.org/drawingml/2006/picture">
                <pic:pic>
                  <pic:nvPicPr>
                    <pic:cNvPr id="0" name="A 20269-2024 karta.png"/>
                    <pic:cNvPicPr/>
                  </pic:nvPicPr>
                  <pic:blipFill>
                    <a:blip r:embed="rId16"/>
                    <a:stretch>
                      <a:fillRect/>
                    </a:stretch>
                  </pic:blipFill>
                  <pic:spPr>
                    <a:xfrm>
                      <a:off x="0" y="0"/>
                      <a:ext cx="539755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6936705, E 494024 i SWEREF 99 TM.</w:t>
      </w:r>
    </w:p>
    <w:p>
      <w:r>
        <w:t>I och inom 21 meter från avverkningsanmälan finns fynd av 20 naturvårdsarter, varav 15 är rödlistade, 4 är fridlysta, 15 är typiska (T) och 4 är signalarter (S): garnlav (VU, T), gräddporing (VU, T), knärot (VU, T, §8), blågrå svartspik (NT), dropptaggsvamp (NT, T), dvärgbägarlav (NT, T), kortskaftad ärgspik (NT), lunglav (NT, T), mörk kolflarnlav (NT), nordtagging (NT), talltita (NT, §4), tretåig hackspett (NT, T, §4), vedskivlav (NT, T), vedtrappmossa (NT, T), violettgrå tagellav (NT, T), barkkornlav (S, T), korallblylav (S, T),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4.74 ha med buffertzonerna och får av detta skäl inte avverkas.</w:t>
      </w:r>
    </w:p>
    <w:p>
      <w:pPr>
        <w:pStyle w:val="Caption"/>
      </w:pPr>
      <w:r>
        <w:drawing>
          <wp:inline xmlns:a="http://schemas.openxmlformats.org/drawingml/2006/main" xmlns:pic="http://schemas.openxmlformats.org/drawingml/2006/picture">
            <wp:extent cx="5486400" cy="5454349"/>
            <wp:docPr id="2" name="Picture 2"/>
            <wp:cNvGraphicFramePr>
              <a:graphicFrameLocks noChangeAspect="1"/>
            </wp:cNvGraphicFramePr>
            <a:graphic>
              <a:graphicData uri="http://schemas.openxmlformats.org/drawingml/2006/picture">
                <pic:pic>
                  <pic:nvPicPr>
                    <pic:cNvPr id="0" name="A 20269-2024 karta knärot.png"/>
                    <pic:cNvPicPr/>
                  </pic:nvPicPr>
                  <pic:blipFill>
                    <a:blip r:embed="rId17"/>
                    <a:stretch>
                      <a:fillRect/>
                    </a:stretch>
                  </pic:blipFill>
                  <pic:spPr>
                    <a:xfrm>
                      <a:off x="0" y="0"/>
                      <a:ext cx="5486400" cy="54543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6936705, E 494024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