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24773-2026 i Ånge kommun</w:t>
      </w:r>
    </w:p>
    <w:p>
      <w:r>
        <w:t>Detta klagomål behandlar höga naturvärden i avverkningsanmälan A 24773-2026 i Ånge kommun som inkom 2026-05-29 och omfattar 5,8 ha.</w:t>
      </w:r>
    </w:p>
    <w:p>
      <w:pPr>
        <w:pStyle w:val="Caption"/>
      </w:pPr>
      <w:r>
        <w:drawing>
          <wp:inline xmlns:a="http://schemas.openxmlformats.org/drawingml/2006/main" xmlns:pic="http://schemas.openxmlformats.org/drawingml/2006/picture">
            <wp:extent cx="5308960" cy="5724000"/>
            <wp:docPr id="1" name="Picture 1"/>
            <wp:cNvGraphicFramePr>
              <a:graphicFrameLocks noChangeAspect="1"/>
            </wp:cNvGraphicFramePr>
            <a:graphic>
              <a:graphicData uri="http://schemas.openxmlformats.org/drawingml/2006/picture">
                <pic:pic>
                  <pic:nvPicPr>
                    <pic:cNvPr id="0" name="A 24773-2026 karta.png"/>
                    <pic:cNvPicPr/>
                  </pic:nvPicPr>
                  <pic:blipFill>
                    <a:blip r:embed="rId16"/>
                    <a:stretch>
                      <a:fillRect/>
                    </a:stretch>
                  </pic:blipFill>
                  <pic:spPr>
                    <a:xfrm>
                      <a:off x="0" y="0"/>
                      <a:ext cx="530896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6937726, E 562813 i SWEREF 99 TM.</w:t>
      </w:r>
    </w:p>
    <w:p>
      <w:r>
        <w:t>I avverkningsanmälan finns fynd av 17 naturvårdsarter, varav 12 är rödlistade, 2 är fridlysta, 14 är typiska (T) och 4 är signalarter (S): blackticka (VU), garnlav (VU, T), knärot (VU, T, §8), ostticka (VU, T), dropptaggsvamp (NT, T), kötticka (NT), lunglav (NT, T), rosenticka (NT, T), tretåig hackspett (NT, T, §4), ullticka (NT, T), violettgrå tagellav (NT, T), vitgrynig nållav (NT), bollvitmossa (S, T), bronshjon (S, T), nästlav (S, T), vedticka (S, T) och ormbär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0.90 ha med buffertzonerna och får av detta skäl inte avverkas.</w:t>
      </w:r>
    </w:p>
    <w:p>
      <w:pPr>
        <w:pStyle w:val="Caption"/>
      </w:pPr>
      <w:r>
        <w:drawing>
          <wp:inline xmlns:a="http://schemas.openxmlformats.org/drawingml/2006/main" xmlns:pic="http://schemas.openxmlformats.org/drawingml/2006/picture">
            <wp:extent cx="5486400" cy="8225360"/>
            <wp:docPr id="2" name="Picture 2"/>
            <wp:cNvGraphicFramePr>
              <a:graphicFrameLocks noChangeAspect="1"/>
            </wp:cNvGraphicFramePr>
            <a:graphic>
              <a:graphicData uri="http://schemas.openxmlformats.org/drawingml/2006/picture">
                <pic:pic>
                  <pic:nvPicPr>
                    <pic:cNvPr id="0" name="A 24773-2026 karta knärot.png"/>
                    <pic:cNvPicPr/>
                  </pic:nvPicPr>
                  <pic:blipFill>
                    <a:blip r:embed="rId17"/>
                    <a:stretch>
                      <a:fillRect/>
                    </a:stretch>
                  </pic:blipFill>
                  <pic:spPr>
                    <a:xfrm>
                      <a:off x="0" y="0"/>
                      <a:ext cx="5486400" cy="82253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6937726, E 562813 i SWEREF 99 TM.</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