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64518-2023 i Ånge kommun</w:t>
      </w:r>
    </w:p>
    <w:p>
      <w:r>
        <w:t>Detta klagomål behandlar höga naturvärden i avverkningsanmälan A 64518-2023 i Ånge kommun som inkom 2023-12-21 och omfattar 69,5 ha.</w:t>
      </w:r>
    </w:p>
    <w:p>
      <w:pPr>
        <w:pStyle w:val="Caption"/>
      </w:pPr>
      <w:r>
        <w:drawing>
          <wp:inline xmlns:a="http://schemas.openxmlformats.org/drawingml/2006/main" xmlns:pic="http://schemas.openxmlformats.org/drawingml/2006/picture">
            <wp:extent cx="5486400" cy="4951249"/>
            <wp:docPr id="1" name="Picture 1"/>
            <wp:cNvGraphicFramePr>
              <a:graphicFrameLocks noChangeAspect="1"/>
            </wp:cNvGraphicFramePr>
            <a:graphic>
              <a:graphicData uri="http://schemas.openxmlformats.org/drawingml/2006/picture">
                <pic:pic>
                  <pic:nvPicPr>
                    <pic:cNvPr id="0" name="A 64518-2023 karta.png"/>
                    <pic:cNvPicPr/>
                  </pic:nvPicPr>
                  <pic:blipFill>
                    <a:blip r:embed="rId16"/>
                    <a:stretch>
                      <a:fillRect/>
                    </a:stretch>
                  </pic:blipFill>
                  <pic:spPr>
                    <a:xfrm>
                      <a:off x="0" y="0"/>
                      <a:ext cx="5486400" cy="4951249"/>
                    </a:xfrm>
                    <a:prstGeom prst="rect"/>
                  </pic:spPr>
                </pic:pic>
              </a:graphicData>
            </a:graphic>
          </wp:inline>
        </w:drawing>
      </w:r>
    </w:p>
    <w:p>
      <w:pPr>
        <w:pStyle w:val="Caption"/>
        <w:spacing w:after="240"/>
      </w:pPr>
      <w:r>
        <w:t>Figur 1. Fyndplatser för naturvårdsarter i och inom 15 meter från avverkningsanmälan. Markörer utan svart kant är placerade på fyndplatsen. Markörer med svart kant är placerade vid sidan av fyndplatsen och har ett svart streck som visar fyndplatsens exakta position. Kartans mittpunktskoordinat är N 6933835, E 520455 i SWEREF 99 TM.</w:t>
      </w:r>
    </w:p>
    <w:p>
      <w:r>
        <w:t>I och inom 15 meter från avverkningsanmälan finns fynd av 50 naturvårdsarter, varav 29 är rödlistade, 11 är fridlysta, 38 är typiska (T) och 14 är signalarter (S): doftticka (VU, T, §8), garnlav (VU, T), gräddporing (VU, T), gränsticka (VU, T), knärot (VU, T, §8), ulltickeporing (VU), blå taggsvamp (NT, T), dropptaggsvamp (NT, T), dvärgbägarlav (NT, T), fjällig taggsvamp s.str. (NT), flattoppad klubbsvamp (NT), gammelgransskål (NT, T), grantaggsvamp (NT), kolflarnlav (NT, T), koralltaggsvamp (NT, T), kortskaftad ärgspik (NT), lunglav (NT, T), mörk kolflarnlav (NT), orange taggsvamp (NT, T), rosenticka (NT, T), skarp dropptaggsvamp (NT), skrovellav (NT, T), talltagel (NT, T), tallticka (NT, T), talltita (NT, §4), ullticka (NT, T), vedskivlav (NT, T), vedtrappmossa (NT, T), violettgrå tagellav (NT, T), barkticka (S, T), bårdlav (S, T), grovticka (S, T), grönpyrola (S, T), jättesvampmal (S), luddlav (S, T), norrlandslav (S, T), nästlav (S, T), plattlummer (S, T, §9), skinnlav (S, T), spindelblomster (S, T, §8), stor aspticka (S, T), stuplav (S, T), vedticka (S, T), järpe (T, §4), linnea (T), spillkråka (T, §4), tjäder (T, §4), kungsfågel (§4), nattviol (§8) och revlummer (§9).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Doftticka (VU, §8)</w:t>
      </w:r>
      <w:r>
        <w:t xml:space="preserve"> är rödlistad som sårbar (VU) och fridlyst enligt 8§ artskyddsförordningen. Den är även globalt rödlistad som Nära hotad (NT) vilket innebär att Sverige har ett internationellt ansvar för arten. Doftticka är beroende av hög och jämn luftfuktighet i gamla, ostörda skogsmiljöer och är känslig för snabba förändringar av ljus-/vindförhållanden eller uttorkning. Dofttickan är placerad i toppen av Skogsstyrelsens värdepyramid för bedömning av skog med höga naturvärden och signalerar alltid gamla sälgar och skogsområden med höga naturvärden. Avverkning av värdträd (främst sälg) utgör det största hotet och när gamla och olikåldriga skogar med sälg avverkas försvinner oftast sälgen. Dofttickan har minskat med ca 30 % under de senaste 30 åren och är typisk art för </w:t>
      </w:r>
      <w:r>
        <w:rPr>
          <w:i/>
        </w:rPr>
        <w:t>9010 Taiga</w:t>
      </w:r>
      <w:r>
        <w:t xml:space="preserve"> och</w:t>
      </w:r>
      <w:r>
        <w:rPr>
          <w:i/>
        </w:rPr>
        <w:t xml:space="preserve"> 9050 Näringsrik granskog </w:t>
      </w:r>
      <w:r>
        <w:t>(IUCN Redlist, 2024; Nitare &amp; Skogsstyrelsen, 2019; SLU Artdatabanken, 2024).</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Gräddporing (VU)</w:t>
      </w:r>
      <w:r>
        <w:t xml:space="preserve"> växer nästan enbart i urskogsartad barrskog på gamla, kraftigt murkna, grova och mossbelupna tallågor i något fuktiga och skuggiga lägen. Arten är placerad högst upp i Skogsstyrelsens värdepyramid för bedömning av skog med höga naturvärden och indikerar gamla och relativt orörda tallnaturskogar med höga naturvärden där det under låg tid kontinuerligt funnits inslag av grova tallågor. För att på sikt hejda artens vikande trend behöver merparten av gräddporingens nu kända växtplatser undantas från skogsbruk. Gräddporing är typisk art för </w:t>
      </w:r>
      <w:r>
        <w:rPr>
          <w:i/>
        </w:rPr>
        <w:t>9010 Taiga</w:t>
      </w:r>
      <w:r>
        <w:t xml:space="preserve"> (SLU Artdatabanken, 2024; Nitare &amp; Skogsstyrelsen, 2019).</w:t>
      </w:r>
    </w:p>
    <w:p>
      <w:r>
        <w:rPr>
          <w:b/>
        </w:rPr>
        <w:t>Gränsticka (VU)</w:t>
      </w:r>
      <w:r>
        <w:t xml:space="preserve"> är en mycket bra signalart inom hela sitt utbredningsområde. Den är huvudsakligen knuten till restbestånd av barrnaturskog och förekommer med ett tydligt optimum i orörda eller måttligt påverkade gamla granskogar där det föreligger långvarig kontinuitet av grov död ved. Den totala populationen bedöms ha minskat och fortsätter att minska i takt med att grankontinuitetsskogar (äldre tidigare icke kalavverkade skogar) minskar i areal. Minskningstakten överstiger gränsvärdet för sårbar (VU). Lokaler som hyser arten bör undantas från skogsbruk, speciellt i mellersta och södra Sverige. Gränsticka är typisk art för </w:t>
      </w:r>
      <w:r>
        <w:rPr>
          <w:i/>
        </w:rPr>
        <w:t>9010 Taiga</w:t>
      </w:r>
      <w:r>
        <w:t xml:space="preserve"> (SLU Artdatabanken, 2026; Nitare &amp; Skogsstyrelsen, 2019).</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65 fyndplatser för knärot registrerade på Artportalen. Figur 2 visar gränserna för buffertzoner på 50 m, som behöver lämnas kring fyndplatserna för att knärotslokalerna inte ska försvinna vid en avverkning. Av det avverkningsanmälda området överlappar 25.88 ha med buffertzonerna och får av detta skäl inte avverkas.</w:t>
      </w:r>
    </w:p>
    <w:p>
      <w:pPr>
        <w:pStyle w:val="Caption"/>
      </w:pPr>
      <w:r>
        <w:drawing>
          <wp:inline xmlns:a="http://schemas.openxmlformats.org/drawingml/2006/main" xmlns:pic="http://schemas.openxmlformats.org/drawingml/2006/picture">
            <wp:extent cx="5486400" cy="4296737"/>
            <wp:docPr id="2" name="Picture 2"/>
            <wp:cNvGraphicFramePr>
              <a:graphicFrameLocks noChangeAspect="1"/>
            </wp:cNvGraphicFramePr>
            <a:graphic>
              <a:graphicData uri="http://schemas.openxmlformats.org/drawingml/2006/picture">
                <pic:pic>
                  <pic:nvPicPr>
                    <pic:cNvPr id="0" name="A 64518-2023 karta knärot.png"/>
                    <pic:cNvPicPr/>
                  </pic:nvPicPr>
                  <pic:blipFill>
                    <a:blip r:embed="rId17"/>
                    <a:stretch>
                      <a:fillRect/>
                    </a:stretch>
                  </pic:blipFill>
                  <pic:spPr>
                    <a:xfrm>
                      <a:off x="0" y="0"/>
                      <a:ext cx="5486400" cy="4296737"/>
                    </a:xfrm>
                    <a:prstGeom prst="rect"/>
                  </pic:spPr>
                </pic:pic>
              </a:graphicData>
            </a:graphic>
          </wp:inline>
        </w:drawing>
      </w:r>
    </w:p>
    <w:p>
      <w:pPr>
        <w:pStyle w:val="Caption"/>
        <w:spacing w:after="240"/>
      </w:pPr>
      <w:r>
        <w:t>Figur 2. Fyndplatser och buffertzoner för knärot i det avverkningsanmälda området. Endast fyndplatser vars buffertzoner överlappar med det avverkningsanmälda området har tagits med i visualiseringen. Kartans mittpunktskoordinat är N 6933835, E 520455 i SWEREF 99 TM.</w:t>
      </w:r>
    </w:p>
    <w:p>
      <w:r>
        <w:rPr>
          <w:b/>
        </w:rPr>
        <w:t xml:space="preserve">Ulltickeporing </w:t>
      </w:r>
      <w:r>
        <w:rPr>
          <w:b/>
          <w:i/>
        </w:rPr>
        <w:t>Skeletocutis brevispora</w:t>
      </w:r>
      <w:r>
        <w:rPr>
          <w:b/>
        </w:rPr>
        <w:t xml:space="preserve"> (VU)</w:t>
      </w:r>
      <w:r>
        <w:t>, rödlistad som sårbar, växer på ullticka (NT) i naturskogsartade granskogar. Avverkning av naturskogslika miljöer och av grova granar där ulltickeporing förekommer är ett direkt hot mot artens fortlevnad. Alla skogliga åtgärder som innebär att lågor och döda eller skadade träd tas bort missgynnar arten. På sikt är minskad tillgång till lämpligt substrat och krympande areal av naturskog ett hot, framförallt råder brist på grov ved som lågor i sena nedbrytningsstadier. Ytterligare fragmentering av skogslandskapet minskar artens möjligheter till spridning. Gamla granskogar som hyser arten undantas helt från skogsbruk (SLU Artdatabanken, 2024).</w:t>
      </w:r>
    </w:p>
    <w:p>
      <w:r>
        <w:rPr>
          <w:b/>
        </w:rPr>
        <w:t xml:space="preserve">Blå taggsvamp (NT) </w:t>
      </w:r>
      <w:r>
        <w:t xml:space="preserve">är en karaktärsart i såväl örtrika kalkbarrskogar som i torra sandtallskogar där det föreligger gammal skog med långvarig trädkontinuitet. Är sällsynt och mycket kravfull i södra och mellersta Sverige. Den hotas främst av skogsavverkning och tycks försvinna efter slutavverkning, markberedning och plantering. I kalkgranskogar verkar arten vara mycket känslig. Granskogar med arten bör formellt skydddas. Blå taggsvamp (NT) är typisk art för </w:t>
      </w:r>
      <w:r>
        <w:rPr>
          <w:i/>
        </w:rPr>
        <w:t>9010 Taiga</w:t>
      </w:r>
      <w:r>
        <w:t xml:space="preserve"> (SLU Artdatabanken, 2024; Nitare &amp; Skogsstyrelsen, 2019).</w:t>
      </w:r>
    </w:p>
    <w:p>
      <w:r>
        <w:rPr>
          <w:b/>
        </w:rPr>
        <w:t>Dropptaggsvamp (NT)</w:t>
      </w:r>
      <w:r>
        <w:t xml:space="preserve"> bildar mykorrhiza med tall, främst i barrskog med trädkontinuitet, i magra, torra och ljusöppna lavtallskogar och i barrblandskogar med friskmossor och lingon i fältskiktet. Den totala populationen i landet har minskat och bedöms fortsätta minska till följd av slutavverkningar av tallskog. Det är högst oklart om arten långsiktigt kan etablera och reproducera sig i skogsbestånd som brukas med trakthyggesmetoder, markberedning, gödsling eller föryngring med förädlat plantmaterial. Uppfyller kriterierna för att bli rödlistad på grund av ny kunskap som visar att en större andel av populationen än tidigare bedömt är knuten till kontinuitetsbarrskog. Minskningstakten för den svenska populationen bedöms vara nära gränsvärdet för Sårbar (VU). Dropptaggsvamp är typisk art för </w:t>
      </w:r>
      <w:r>
        <w:rPr>
          <w:i/>
        </w:rPr>
        <w:t xml:space="preserve">9010 Taiga </w:t>
      </w:r>
      <w:r>
        <w:t>(SLU Artdatabanken, 2026).</w:t>
      </w:r>
    </w:p>
    <w:p>
      <w:r>
        <w:rPr>
          <w:b/>
        </w:rPr>
        <w:t>Dvärgbägarlav (NT)</w:t>
      </w:r>
      <w:r>
        <w:t xml:space="preserve"> förekommer över hela Sverige på gammal hård ved, huvudsakligen på tall men i södra Sverige även på ek. Veden utgörs framförallt av grova stubbar, lågor och grenar. Substratet har blivit sällsyntare och nybildning av substrat sker bara i begränsad omfattning. Arten hotas av att grova lågor blir allt sällsyntare i dagens kulturskogar samt att nybildningen av lämpliga substrat går mycket långsamt. En riklig tillgång på gamla tall- eller eklågor måste säkerställas på artens lokaler. Dvärgbägarlav är typisk art för </w:t>
      </w:r>
      <w:r>
        <w:rPr>
          <w:i/>
        </w:rPr>
        <w:t>9010 Taiga</w:t>
      </w:r>
      <w:r>
        <w:t xml:space="preserve"> (SLU Artdatabanken, 2024; Nitare &amp; Skogsstyrelsen, 2019).</w:t>
      </w:r>
    </w:p>
    <w:p>
      <w:r>
        <w:rPr>
          <w:b/>
        </w:rPr>
        <w:t>Fjällig taggsvamp s.str. (NT)</w:t>
      </w:r>
      <w:r>
        <w:t xml:space="preserve"> bildar mykorrhiza med gran i granskog och barrblandskog, främst på frisk näringsrik mark i äldre skog med lång trädkontinuitet. Den totala populationen i landet har minskat och bedöms fortsätta minska till följd av avverkning av äldre barrskogar. Minskningstakten för den svenska populationen bedöms vara nära gränsvärdet för sårbar (VU) (SLU Artdatabanken, 2026).</w:t>
      </w:r>
    </w:p>
    <w:p>
      <w:r>
        <w:rPr>
          <w:b/>
        </w:rPr>
        <w:t xml:space="preserve">Flattoppad klubbsvamp (NT) </w:t>
      </w:r>
      <w:r>
        <w:t>bildar mykorrhiza med gran och växer i äldre barrskog på näringsrik, kalkpåverkad mark. Växtmiljön utgörs vanligen av örtrika granskogar med höga naturvärden, gärna påverkade av ytligt och rörligt markvatten. Svampen kräver välutvecklade gamla mossmattor med konstant fuktigt mikroklimat och hotas främst av slutavverkning av äldre ängsgranskogar på näringsrik mark. Artens lokaler bör undantas från skogsbruk (SLU Artdatabanken, 2024).</w:t>
      </w:r>
    </w:p>
    <w:p>
      <w:r>
        <w:rPr>
          <w:b/>
        </w:rPr>
        <w:t>Gammelgransskål (NT)</w:t>
      </w:r>
      <w:r>
        <w:t xml:space="preserve"> är en liten skålsvamp som växer på gamla granar med skrovlig bark. Typiska växtplatser är gransumpskog i myrkanter, bäckdråg, bäckraviner och skuggiga bergssluttningar, men också skog på torrare mark kan hysa arten om beståndet har stark naturskogskaraktär. Bestånd med arten bör behandlas som nyckelbiotoper och sparas vid en slutavverkning. Även gallring bör undvikas. Gammelgransskål är typisk art för </w:t>
      </w:r>
      <w:r>
        <w:rPr>
          <w:i/>
        </w:rPr>
        <w:t>9010 Taiga</w:t>
      </w:r>
      <w:r>
        <w:t xml:space="preserve"> (SLU Artdatabanken, 2024; Nitare &amp; Skogsstyrelsen, 2019).</w:t>
      </w:r>
    </w:p>
    <w:p>
      <w:r>
        <w:rPr>
          <w:b/>
        </w:rPr>
        <w:t xml:space="preserve">Grantaggsvamp (NT) </w:t>
      </w:r>
      <w:r>
        <w:t>påträffas främst i mossiga och örtrika äldre granskogar på kalkrik mark i något fuktiga lägen, och i norr även i mager tallskog med lång kontinuitet. Arten missgynnas generellt av trakthyggesbruket och en långsiktig tillgång till värdträd bör säkras genom att man undviker att avverka kända växtplatser (SLU Artdatabanken, 2024).</w:t>
      </w:r>
    </w:p>
    <w:p>
      <w:r>
        <w:rPr>
          <w:b/>
        </w:rPr>
        <w:t>Kolflarnlav (NT)</w:t>
      </w:r>
      <w:r>
        <w:t xml:space="preserve"> är brandberoende och växer nästan uteslutande på kolad hård kärnved av tall. Etableringen verkar ske först 100–300 år efter brand och nytt substrat nybildas i mycket begränsad omfattning. Avverkning av tallskog av naturskogskaraktär med spår av återkommande bränder är ett hot och mängden lämplig ved att växa på för arten minskar dels på grund av naturlig nedbrytning men framförallt på grund av att det förstörs i samband med slutavverkningar, gallringar och markberedning. Såväl kolflarnlav som mörk kolflarnlav har glänsande bålfjäll och förekommer främst i tall- och blandbarrskogar av naturskogskaraktär med spår av återkommande bränder. Skogar som dessa hyser höga biologiska värden och bör skyddas. Kolflarnlav är typisk art för </w:t>
      </w:r>
      <w:r>
        <w:rPr>
          <w:i/>
        </w:rPr>
        <w:t>9010 Taiga</w:t>
      </w:r>
      <w:r>
        <w:t xml:space="preserve"> (SLU Artdatabanken, 2024).</w:t>
      </w:r>
    </w:p>
    <w:p>
      <w:r>
        <w:rPr>
          <w:b/>
        </w:rPr>
        <w:t>Koralltaggsvamp (NT)</w:t>
      </w:r>
      <w:r>
        <w:t xml:space="preserve"> är i hela landet en mycket bra signalart som nästan enbart påträffas i skogsområden med höga naturvärden. Arten hotas av brist på död ved. Ingrepp som innebär att lågor och döda eller skadade träd tas bort missgynnar arten. En slutavverkning, skoglig gallring eller annat uttag av virke på växtplatsen som ger ett förändrat lokalklimat innebär ett direkt hot liksom överföring av lövskog till barrskog. Koralltaggsvamp är typisk art för </w:t>
      </w:r>
      <w:r>
        <w:rPr>
          <w:i/>
        </w:rPr>
        <w:t>9010 Taiga, 9050 Näringsrik granskog</w:t>
      </w:r>
      <w:r>
        <w:t xml:space="preserve"> och</w:t>
      </w:r>
      <w:r>
        <w:rPr>
          <w:i/>
        </w:rPr>
        <w:t xml:space="preserve"> 9030 Landhöjningsskog</w:t>
      </w:r>
      <w:r>
        <w:t xml:space="preserve"> (SLU Artdatabanken, 2024; Nitare &amp; Skogsstyrelsen, 2019).</w:t>
      </w:r>
    </w:p>
    <w:p>
      <w:r>
        <w:rPr>
          <w:b/>
        </w:rPr>
        <w:t>Kortskaftad ärgspik (NT)</w:t>
      </w:r>
      <w:r>
        <w:t xml:space="preserve"> förekommer i barrträdsdominerade skogar och växer nästan uteslutande på tallved. Den föredrar gamla högstubbar i fuktig och halvöppen miljö, t.ex. i myrkanter, sumpskog och brandpräglad skog. Arten indikerar kontinuerlig tillgång till gamla högstubbar i kombination med hög och jämn luftfuktighet. Skogsbruk på lokaler med kortskaftad ärgspik utgör ett hot. På lång sikt bildas färre lämpliga substrat än vad som försvinner. Avverkning av barrträdsdominerade bestånd av naturskogskaraktär utgör ett långsiktigt hot. Naturskogsartade bestånd med riklig förekomst av gamla och grova tallhögstubbar bör undantas från skogsbruk (SLU Artdatabanken, 2024).</w:t>
      </w:r>
    </w:p>
    <w:p>
      <w:r>
        <w:rPr>
          <w:b/>
        </w:rPr>
        <w:t>Lunglav (NT)</w:t>
      </w:r>
      <w:r>
        <w:t xml:space="preserve"> är en av vårt lands främsta signalarter som överallt indikerar gamla lövträd, skogsbestånd med höga naturvärden och ekosystem med långskoglig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På lunglav kan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påträffas. 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 Nitare &amp; Skogsstyrelsen, 2019).</w:t>
      </w:r>
    </w:p>
    <w:p>
      <w:r>
        <w:rPr>
          <w:b/>
        </w:rPr>
        <w:t>Mörk kolflarnlav (NT)</w:t>
      </w:r>
      <w:r>
        <w:t xml:space="preserve"> är brandberoende och växer nästan uteslutande på kolad hård kärnved av tall. Arten förekommer främst i glesa, öppna tall- och blandbarrskogar av naturskogskaraktär och etableringen verkar ske sent efter brand, kanske först efter 100–300 år. Mörk kolflarnlav indikerar skog med höga naturvärden och vanligast är att den påträffas på rester av nedbrunna torrakor och högstubbar och lågstubbar som är så grova att hela innandömet är urbränt. Tall- och blandbarrskogar av naturskogskaraktär med spår av återkommande bränder hyser höga biologiska värden och bör skyddas (SLU Artdatabanken, 2024).</w:t>
      </w:r>
    </w:p>
    <w:p>
      <w:r>
        <w:rPr>
          <w:b/>
        </w:rPr>
        <w:t xml:space="preserve">Orange taggsvamp (NT) </w:t>
      </w:r>
      <w:r>
        <w:t xml:space="preserve">bildar mykorrhiza med både gran och tall och den förekommer främst i äldre barrskogar med kontinuitetsskogskaraktär. Mest frekvent är den i äldre mossrik granskog, men då bara i skogar inom granens naturliga utbredningsområde och i bestånd med långvarig grankontinuitet. Den totala populationen i landet bedöms ha minskat kraftigt och fortsatt kommer att minska då arten är knuten till en produktiv skogsmiljö som successivt avverkas. Arten hotas främst av skogsavverkning och tycks försvinna efter slutavverkning, markberedning och plantering och det är inte känt att arten har återkommit i anlagd skog på tidigare kalmark. Orange taggsvamp är typisk art för </w:t>
      </w:r>
      <w:r>
        <w:rPr>
          <w:i/>
        </w:rPr>
        <w:t>9010 Taiga</w:t>
      </w:r>
      <w:r>
        <w:t xml:space="preserve"> (SLU Artdatabanken, 2024).</w:t>
      </w:r>
    </w:p>
    <w:p>
      <w:r>
        <w:rPr>
          <w:b/>
        </w:rPr>
        <w:t>Rosenticka (NT)</w:t>
      </w:r>
      <w:r>
        <w:t xml:space="preserve">, rödlistad som nära hotad, ingår i en karaktäristisk association av vedsvampar som växer på gamla, grova granlågor i urskogsartade barrskogar. Den är placerad i toppen av Skogsstyrelsens värdepyramid för bedömning av skog med höga naturvärden och indikerar ett granskogsekosystem med långvarig kontinuitet av grova lågor. Artens beroende av grova granlågor innebär att alla skogsskötselåtgärder på eller i omedelbar närhet av lokalerna utgör ett hot på lång sikt. Det är angeläget att populationerna inte ytterligare glesas ut och ett tillräckligt antal områden där arten nu finns måste sparas för framtiden. Rosenticka är typisk art för </w:t>
      </w:r>
      <w:r>
        <w:rPr>
          <w:i/>
        </w:rPr>
        <w:t xml:space="preserve">9010 Taiga </w:t>
      </w:r>
      <w:r>
        <w:t xml:space="preserve">och </w:t>
      </w:r>
      <w:r>
        <w:rPr>
          <w:i/>
        </w:rPr>
        <w:t>9050 Näringsrik granskog</w:t>
      </w:r>
      <w:r>
        <w:t xml:space="preserve"> (Nitare &amp; Skogsstyrelsen, 2019; SLU Artdatabanken, 2024).</w:t>
      </w:r>
    </w:p>
    <w:p>
      <w:r>
        <w:rPr>
          <w:b/>
        </w:rPr>
        <w:t xml:space="preserve">Skarp dropptaggsvamp (NT) </w:t>
      </w:r>
      <w:r>
        <w:t>bildar mykorrhiza med både gran och tall, främst i barrskogar med trädkontinuitet. Arten uppträder dels i näringsrik kalkbarrskog och dels i sur lavtallskog. Kalkbarrskogarna är ofta grandominerade, olikåldriga och skiktade på frisk mark med ett örtrikt vegetationsskikt. Lavtallskogarna är i regel magra, torra, ljusöppna och ofta brandpräglade. Den totala populationen i landet har minskat och bedöms fortsätta minska till följd av avverkning av äldre barrskogar. Arten har begränsad förmåga att återetablera sig efter slutavverkning eller andra storskaliga skogsbruksåtgärder. Det saknas indikationer på att arten långsiktigt kan etablera eller reproducera sig i skogsbestånd som brukas med metoder som trakthyggesbruk, markberedning, gödsling eller föryngring med förädlat plantmaterial. Minskningstakten för den svenska populationen bedöms vara nära gränsvärdet för Sårbar (VU) (SLU Artdatabanken, 2026).</w:t>
      </w:r>
    </w:p>
    <w:p>
      <w:r>
        <w:rPr>
          <w:b/>
        </w:rPr>
        <w:t>Skrovellav (NT)</w:t>
      </w:r>
      <w:r>
        <w:t xml:space="preserve"> växer på gamla lövträd och på klippor i gamla skogar med hög och jämn luftfuktighet. Slutavverkning av kontinuitetsskog utgör det största hotet och lavens fortsatta förekomst bör säkerställas genom att lokaler med äldre skog skyddas. I områden med mycket hög luftfuktighet kan man på bålen av skrovellav finna de sällsynta parasitsvamparna skrovellavsknapp (EN), </w:t>
      </w:r>
      <w:r>
        <w:rPr>
          <w:i/>
        </w:rPr>
        <w:t>Catillaria lobariicola</w:t>
      </w:r>
      <w:r>
        <w:t xml:space="preserve"> (VU) och </w:t>
      </w:r>
      <w:r>
        <w:rPr>
          <w:i/>
        </w:rPr>
        <w:t>Merismatium lobariae</w:t>
      </w:r>
      <w:r>
        <w:t xml:space="preserve"> (DD). Skrovellav är typisk art för </w:t>
      </w:r>
      <w:r>
        <w:rPr>
          <w:i/>
        </w:rPr>
        <w:t xml:space="preserve">9010 Taiga, 9020 Nordlig ädellövskog, 9040 Fjällbjörkskog, 9070 Trädklädd betesmark, 9160 Näringsrik ekskog, 9180 Ädellövskog i branter, 9190 Näringsfattig ekskog, 8210 Kalkbranter </w:t>
      </w:r>
      <w:r>
        <w:t xml:space="preserve">och </w:t>
      </w:r>
      <w:r>
        <w:rPr>
          <w:i/>
        </w:rPr>
        <w:t>6530 Lövängar</w:t>
      </w:r>
      <w:r>
        <w:t xml:space="preserve"> (SLU Artdatabanken, 2026; Nitare &amp; Skogsstyrelsen, 2019).</w:t>
      </w:r>
    </w:p>
    <w:p>
      <w:r>
        <w:rPr>
          <w:b/>
        </w:rPr>
        <w:t>Talltagel (NT)</w:t>
      </w:r>
      <w:r>
        <w:t xml:space="preserve"> är en boreal art som förekommer på tall i äldre, öppna tallskogar. Den påverkas negativt av brist på kontinuitetsskog och minskningstakten bedöms vara nära gränsvärdet för Sårbar (VU). Talltagel är typisk art för </w:t>
      </w:r>
      <w:r>
        <w:rPr>
          <w:i/>
        </w:rPr>
        <w:t>9010 Taiga</w:t>
      </w:r>
      <w:r>
        <w:t xml:space="preserve"> (SLU Artdatabanken, 2026).</w:t>
      </w:r>
    </w:p>
    <w:p>
      <w:r>
        <w:rPr>
          <w:b/>
        </w:rPr>
        <w:t xml:space="preserve">Tallticka (NT) </w:t>
      </w:r>
      <w:r>
        <w:t xml:space="preserve">uppträder först på tallar som är 100–150 år gamla men är vanligast på träd som är runt 150–200 år eller äldre. I skogslandskapet är den främst knuten till tallnaturskogar och restbiotoper med biologiskt gamla träd och signalerar vanligtvis skyddsvärda tallbestånd med höga naturvärden. Tallticka är typisk art för </w:t>
      </w:r>
      <w:r>
        <w:rPr>
          <w:i/>
        </w:rPr>
        <w:t xml:space="preserve">9010 Taiga </w:t>
      </w:r>
      <w:r>
        <w:t xml:space="preserve">och </w:t>
      </w:r>
      <w:r>
        <w:rPr>
          <w:i/>
        </w:rPr>
        <w:t>9060 Åsbarrskog</w:t>
      </w:r>
      <w:r>
        <w:t xml:space="preserve"> (SLU Artdatabanken, 2023; Nitare &amp; Skogsstyrelsen, 2019).</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de tre olika arterna ulltickeporing </w:t>
      </w:r>
      <w:r>
        <w:rPr>
          <w:i/>
        </w:rPr>
        <w:t xml:space="preserve">Skeletocutis brevispora </w:t>
      </w:r>
      <w:r>
        <w:t>(VU)</w:t>
      </w:r>
      <w:r>
        <w:rPr>
          <w:i/>
        </w:rPr>
        <w:t>, Skeletocutis delicata</w:t>
      </w:r>
      <w:r>
        <w:t xml:space="preserve"> (VU)</w:t>
      </w:r>
      <w:r>
        <w:rPr>
          <w:i/>
        </w:rPr>
        <w:t xml:space="preserve"> och Skeletocutis exilis</w:t>
      </w:r>
      <w:r>
        <w:t xml:space="preserve"> (NT). Ullticka är typisk art för </w:t>
      </w:r>
      <w:r>
        <w:rPr>
          <w:i/>
        </w:rPr>
        <w:t xml:space="preserve">9010 Taiga, 9050 Näringsrik granskog </w:t>
      </w:r>
      <w:r>
        <w:t xml:space="preserve">och </w:t>
      </w:r>
      <w:r>
        <w:rPr>
          <w:i/>
        </w:rPr>
        <w:t>9030 Landhöjningsskog</w:t>
      </w:r>
      <w:r>
        <w:t xml:space="preserve"> (SLU Artdatabanken, 2026; Nitare &amp; Skogsstyrelsen, 2019; Miettinen &amp; Niemelä, 2018).</w:t>
      </w:r>
    </w:p>
    <w:p>
      <w:r>
        <w:rPr>
          <w:b/>
        </w:rPr>
        <w:t>Vedskivlav (NT)</w:t>
      </w:r>
      <w:r>
        <w:t xml:space="preserve"> växer på gammal, torr, exponerad, hård kärnved av framförallt tall i naturskogsartade bestånd. Avverkning av tallskog av naturskogskaraktär med spår av återkommande bränder är ett hot. Mängden lämplig ved att växa på för vedskivlav minskar, dels på grund av naturlig nedbrytning men framförallt på grund av att de förstörs i samband med slutavverkningar, gallringar och markberedning. Tall- och blandbarrskogar av naturskogskaraktär med spår av återkommande bränder bör skyddas. Vedskivlav är typisk art för </w:t>
      </w:r>
      <w:r>
        <w:rPr>
          <w:i/>
        </w:rPr>
        <w:t>9010 Taiga</w:t>
      </w:r>
      <w:r>
        <w:t xml:space="preserve"> (SLU Artdatabanken, 2024).</w:t>
      </w:r>
    </w:p>
    <w:p>
      <w:r>
        <w:rPr>
          <w:b/>
        </w:rPr>
        <w:t xml:space="preserve">Vedtrappmossa (NT) </w:t>
      </w:r>
      <w:r>
        <w:t xml:space="preserve">växer på död ved, främst i gammal granskog. Den förekommer knappast alls i fjällnära barrskogar utan finns i skogslandskapet nedom fjällen och framför allt i landets södra delar är den en mycket bra signalart för barrnaturskog med höga naturvärden. Skogsavverkning och brist på grov död ved i skogen är de allvarligaste hoten och den överlever inte kalhyggesbruk. Lokaler med sluten granskog, tillräckligt stora för att säkerställa ett kontinuerligt tillskott på grova lågor, bör undantas från storskaligt skogsbruk. Vedtrappmossa är typisk art för </w:t>
      </w:r>
      <w:r>
        <w:rPr>
          <w:i/>
        </w:rPr>
        <w:t>9010 Taiga</w:t>
      </w:r>
      <w:r>
        <w:t xml:space="preserve"> (SLU Artdatabanken, 2024).</w:t>
      </w:r>
    </w:p>
    <w:p>
      <w:r>
        <w:rPr>
          <w:b/>
        </w:rPr>
        <w:t>Violettgrå tagellav (NT)</w:t>
      </w:r>
      <w:r>
        <w:t xml:space="preserve"> växer nästan uteslutande i gamla olikåldriga barrnaturskogar med lång skoglig kontinuitet och är en utmärkt signal på skog med höga naturvärden. Slutavverkning av tidigare aldrig slutavverkad skog (kontinuitetsskog) är det största hotet. Biotopen nyskapas i begränsad omfattning och barrskog äldre än 160 år, där den violettgrå tagellaven huvudsakligen påträffas har minskat med 50% de senaste 50 åren. Lågproduktiv skogsmark där laven förekommer bör undantas från skogsbruk och rika förekomster i äldre granskog bör skyddas. Arten är känslig för uttorkning och det är väsentligt att tillräckligt stora bestånd avsätts. Violettgrå tagellav är typisk art för </w:t>
      </w:r>
      <w:r>
        <w:rPr>
          <w:i/>
        </w:rPr>
        <w:t>9010 Taiga</w:t>
      </w:r>
      <w:r>
        <w:t xml:space="preserve"> (SLU Artdatabanken, 2024; Nitare &amp; Skogsstyrelsen, 2019).</w:t>
      </w:r>
    </w:p>
    <w:p>
      <w:r>
        <w:rPr>
          <w:b/>
        </w:rPr>
        <w:t>Barkticka</w:t>
      </w:r>
      <w:r>
        <w:t xml:space="preserve"> är en vednedbrytare som växer på barken av döda lövträd, främst asp, men någon gång även på björk eller andra trädslag. På sina växtplatser förekommer den gärna tillsammans med flera ovanliga och rödlistade arter, till exempel olika insekter. Barkticka är typisk art för </w:t>
      </w:r>
      <w:r>
        <w:rPr>
          <w:i/>
        </w:rPr>
        <w:t xml:space="preserve">9010 Taiga </w:t>
      </w:r>
      <w:r>
        <w:t xml:space="preserve">och </w:t>
      </w:r>
      <w:r>
        <w:rPr>
          <w:i/>
        </w:rPr>
        <w:t>9030 Landhöjningsskog</w:t>
      </w:r>
      <w:r>
        <w:t xml:space="preserve"> (SLU Artdatabanken, 2025; Nitare &amp; Skogsstyrelsen, 2019).</w:t>
      </w:r>
    </w:p>
    <w:p>
      <w:r>
        <w:rPr>
          <w:b/>
        </w:rPr>
        <w:t>Bårdlav</w:t>
      </w:r>
      <w:r>
        <w:t xml:space="preserve"> signalerar miljöer med höga naturvärden och på lokalerna finns vanligtvis många andra ovanliga och rödlistade arter. Den visar även på platser med hög och jämn luftfuktighet. På bårdlav och andra njurlavar (Nephroma) kan de sällsynta parasiterna </w:t>
      </w:r>
      <w:r>
        <w:rPr>
          <w:i/>
        </w:rPr>
        <w:t xml:space="preserve">Protounguicularia nephromatis </w:t>
      </w:r>
      <w:r>
        <w:t xml:space="preserve">(VU) och </w:t>
      </w:r>
      <w:r>
        <w:rPr>
          <w:i/>
        </w:rPr>
        <w:t xml:space="preserve">Tremella nephromatis </w:t>
      </w:r>
      <w:r>
        <w:t xml:space="preserve">(DD) påträffas. Bårdlav är typisk art för </w:t>
      </w:r>
      <w:r>
        <w:rPr>
          <w:i/>
        </w:rPr>
        <w:t xml:space="preserve">9010 Taiga, 9020 Nordlig ädellövskog, 9070 Trädklädd betesmark, 9110 Näringsfattig bokskog, 9160 Näringsrik ekskog, 9180 Ädellövskog i branter </w:t>
      </w:r>
      <w:r>
        <w:t>och</w:t>
      </w:r>
      <w:r>
        <w:rPr>
          <w:i/>
        </w:rPr>
        <w:t xml:space="preserve"> 9190 Näringsfattig ekskog</w:t>
      </w:r>
      <w:r>
        <w:t xml:space="preserve"> (SLU Artdatabanken, 2026; Nitare &amp; Skogsstyrelsen, 2019).</w:t>
      </w:r>
    </w:p>
    <w:p>
      <w:r>
        <w:rPr>
          <w:b/>
        </w:rPr>
        <w:t>Grovticka</w:t>
      </w:r>
      <w:r>
        <w:t xml:space="preserve"> är i skogslandskapet främst knuten till naturskogsartad äldre barrskog. Den är där en värdefull ”gammelskogsindikator” och påträffas mest vid tallar som är över 200 år gamla.  Grovticka är typisk art för </w:t>
      </w:r>
      <w:r>
        <w:rPr>
          <w:i/>
        </w:rPr>
        <w:t xml:space="preserve">9060 Åsbarrskog </w:t>
      </w:r>
      <w:r>
        <w:t>(Nitare &amp; Skogsstyrelsen, 2019; SLU Artdatabanken, 2025).</w:t>
      </w:r>
    </w:p>
    <w:p>
      <w:r>
        <w:rPr>
          <w:b/>
        </w:rPr>
        <w:t xml:space="preserve">Grönpyrola </w:t>
      </w:r>
      <w:r>
        <w:t xml:space="preserve">växer främst på sandig, torr eller frisk mark i äldre barrskog, ofta på isälvsmaterial såsom sand och grus. Den påträffas främst i äldre naturligt uppkomna barrskogar, exempelvis på tallmoar, i åssluttningar, dyner och rasbranter. Arten är känslig för skogsbruksmetoder såsom slutavverkning och markberedning. Grönpyrola är typisk art för </w:t>
      </w:r>
      <w:r>
        <w:rPr>
          <w:i/>
        </w:rPr>
        <w:t>9010 Taiga, 9060 Åsbarrskog</w:t>
      </w:r>
      <w:r>
        <w:t xml:space="preserve"> och</w:t>
      </w:r>
      <w:r>
        <w:rPr>
          <w:i/>
        </w:rPr>
        <w:t xml:space="preserve"> 1610 Åsöar i Östersjön </w:t>
      </w:r>
      <w:r>
        <w:t>(Nitare &amp; Skogsstyrelsen, 2019; SLU Artdatabanken, 2025).</w:t>
      </w:r>
    </w:p>
    <w:p>
      <w:r>
        <w:rPr>
          <w:b/>
        </w:rPr>
        <w:t>Jättesvampmal</w:t>
      </w:r>
      <w:r>
        <w:t xml:space="preserve"> är en fjäril som flyger i juli i mer eller mindre orörd gammal löv- eller blandskog, särskilt sådan med björk och bok. Larven lever i fnöskticka m.fl. tickor och kläckhålen och resterna av larvgångar i äldre fruktkroppar är lätta att känna igen och inventera. Arten hotas av avverkning av gamla, svampangripna lövträd samt bortforsling av döda lövträd, vindfällen och lågor. Gamla lövträd och naturbestånd med lövskog - särskilt björk och bok - bör sparas så långt möjligt och död ved lämnas kvar i skogen (SLU Artdatabanken, 2025).</w:t>
      </w:r>
    </w:p>
    <w:p>
      <w:r>
        <w:rPr>
          <w:b/>
        </w:rPr>
        <w:t>Luddlav</w:t>
      </w:r>
      <w:r>
        <w:t xml:space="preserve"> signalerar lång skoglig kontinuitet med ett stabilt lokal- och mikroklimat med hög och jämn fuktighet. Luddlav är typisk art för </w:t>
      </w:r>
      <w:r>
        <w:rPr>
          <w:i/>
        </w:rPr>
        <w:t>9010 Taiga,</w:t>
      </w:r>
      <w:r>
        <w:t xml:space="preserve"> </w:t>
      </w:r>
      <w:r>
        <w:rPr>
          <w:i/>
        </w:rPr>
        <w:t xml:space="preserve">9020 Nordlig ädellövskog, 9070 Trädklädd betesmark, 9110 Näringsfattig bokskog, 9180 Ädellövskog i branter </w:t>
      </w:r>
      <w:r>
        <w:t>och</w:t>
      </w:r>
      <w:r>
        <w:rPr>
          <w:i/>
        </w:rPr>
        <w:t xml:space="preserve"> 9190 Näringsfattig ekskog </w:t>
      </w:r>
      <w:r>
        <w:t>(Nitare &amp; Skogsstyrelsen, 2019; SLU Artdatabanken, 2025).</w:t>
      </w:r>
    </w:p>
    <w:p>
      <w:r>
        <w:rPr>
          <w:b/>
        </w:rPr>
        <w:t xml:space="preserve">Norrlandslav </w:t>
      </w:r>
      <w:r>
        <w:t xml:space="preserve">indikerar söder om den naturliga norrlandsgränsen barrskogsbeklädda bergbranter eller andra ostörda skogsmiljöer med höga naturvärden. Norrlandslav är typisk art för </w:t>
      </w:r>
      <w:r>
        <w:rPr>
          <w:i/>
        </w:rPr>
        <w:t xml:space="preserve">9010 Taiga, 8110 Silikatrasmarker </w:t>
      </w:r>
      <w:r>
        <w:t>och</w:t>
      </w:r>
      <w:r>
        <w:rPr>
          <w:i/>
        </w:rPr>
        <w:t xml:space="preserve"> 8120 Kalkrasmarker </w:t>
      </w:r>
      <w:r>
        <w:t>(Nitare &amp; Skogsstyrelsen, 2000; SLU Artdatabanken, 2025).</w:t>
      </w:r>
    </w:p>
    <w:p>
      <w:r>
        <w:rPr>
          <w:b/>
        </w:rPr>
        <w:t>Nästlav</w:t>
      </w:r>
      <w:r>
        <w:t xml:space="preserve"> indikerar söder om den naturliga norrlandsgränsen äldre barrskogsområden med höga naturvärden där andra ovanliga nordliga barrskogsarter kan påträffas. Nästlav är typisk art för </w:t>
      </w:r>
      <w:r>
        <w:rPr>
          <w:i/>
        </w:rPr>
        <w:t xml:space="preserve">9010 Taiga </w:t>
      </w:r>
      <w:r>
        <w:t>(Nitare &amp; Skogsstyrelsen, 2019; SLU Artdatabanken, 2025).</w:t>
      </w:r>
    </w:p>
    <w:p>
      <w:r>
        <w:rPr>
          <w:b/>
        </w:rPr>
        <w:t>Plattlummer (§9)</w:t>
      </w:r>
      <w:r>
        <w:t xml:space="preserve"> växer främst i ljusöppna sandtallskogar eller annan gles, torr och brandpräglad hedbarrskog. Den är mest frekvent i olika typer av naturskogar och kontinuitetsskogar och missgynnas markant av slutavverkning och maskinell markberedning. Söder ut i landet förekommer de närstående arterna cypresslummer (EN, §8) och mellanlummer (NT, §9), vilka båda omfattas av EU:s art- och habitatdirektiv. Plattlummer är typisk art för </w:t>
      </w:r>
      <w:r>
        <w:rPr>
          <w:i/>
        </w:rPr>
        <w:t xml:space="preserve">9010 Taiga </w:t>
      </w:r>
      <w:r>
        <w:t>och</w:t>
      </w:r>
      <w:r>
        <w:rPr>
          <w:i/>
        </w:rPr>
        <w:t xml:space="preserve"> 2320 Rissandhedar </w:t>
      </w:r>
      <w:r>
        <w:t>(Nitare &amp; Skogsstyrelsen, 2019; SLU Artdatabanken, 2026).</w:t>
      </w:r>
    </w:p>
    <w:p>
      <w:r>
        <w:rPr>
          <w:b/>
        </w:rPr>
        <w:t xml:space="preserve">Skinnlav </w:t>
      </w:r>
      <w:r>
        <w:t xml:space="preserve">förekommer på diverse lövträd, främst på gammal asp och sälg. Den påträffas främst i områden med lång kontinuitet av grova lövträd och signalerar skogsmark med höga naturvärden. På lokalerna förekommer som regel ett flertal andra ovanliga eller rödlistade lavar. I likhet med gelélavarna, etablerar sig skinnlaven i skogsmark på grova aspar i sena lövsuccessioner. Skinnlav är typisk art för </w:t>
      </w:r>
      <w:r>
        <w:rPr>
          <w:i/>
        </w:rPr>
        <w:t xml:space="preserve">9010 Taiga, 9020 Nordlig ädellövskog </w:t>
      </w:r>
      <w:r>
        <w:t xml:space="preserve">och </w:t>
      </w:r>
      <w:r>
        <w:rPr>
          <w:i/>
        </w:rPr>
        <w:t xml:space="preserve">9070 Trädklädd betesmark </w:t>
      </w:r>
      <w:r>
        <w:t>(Nitare &amp; Skogsstyrelsen, 2019; SLU Artdatabanken, 2025).</w:t>
      </w:r>
    </w:p>
    <w:p>
      <w:r>
        <w:rPr>
          <w:b/>
        </w:rPr>
        <w:t>Spindelblomster (§8)</w:t>
      </w:r>
      <w:r>
        <w:t xml:space="preserve"> växer i äldre mossrik granskog eller barrblandskog, men även i fjällbjörkskog. Arten indikerar långvarig trädkontinuitet och hög luftfuktighet och är mycket känslig för uttorkning och markskador. Spindelblomster har i många trakter minskat starkt under senare tid på grund av slutavverkningar och skogsmarksdikning. Spindelblomster är typisk art för </w:t>
      </w:r>
      <w:r>
        <w:rPr>
          <w:i/>
        </w:rPr>
        <w:t xml:space="preserve">9010 Taiga, 9050 Näringsrik granskog </w:t>
      </w:r>
      <w:r>
        <w:t>och</w:t>
      </w:r>
      <w:r>
        <w:rPr>
          <w:i/>
        </w:rPr>
        <w:t xml:space="preserve"> 9040 Fjällbjörkskog</w:t>
      </w:r>
      <w:r>
        <w:t xml:space="preserve"> (Nitare &amp; Skogsstyrelsen, 2019; SLU Artdatabanken, 2025).</w:t>
      </w:r>
    </w:p>
    <w:p>
      <w:r>
        <w:rPr>
          <w:b/>
        </w:rPr>
        <w:t>Stor aspticka</w:t>
      </w:r>
      <w:r>
        <w:t xml:space="preserve"> är knuten till gamla levande aspar och orsakar karaktäristiska inbuktningar i stammen (så kallad nekroser). Slutavverknings- och gallringsåtgärder i löv- och blandskogsbestånd som innebär att tillgången på grov asp minskar är ett hot mot arten. Det är viktigt att äldre aspar och aspbestånd sparas och för att gynna arten på sikt bör aspinslagen i t.ex. bergbranter, raviner, skogsbryn och kring äldre odlingsmarker generellt sparas i större utsträckning än vad som görs idag. Stor aspticka är typisk art för </w:t>
      </w:r>
      <w:r>
        <w:rPr>
          <w:i/>
        </w:rPr>
        <w:t xml:space="preserve">9010 Taiga </w:t>
      </w:r>
      <w:r>
        <w:t xml:space="preserve">och </w:t>
      </w:r>
      <w:r>
        <w:rPr>
          <w:i/>
        </w:rPr>
        <w:t>9030 Landhöjningsskog</w:t>
      </w:r>
      <w:r>
        <w:t xml:space="preserve"> (SLU Artdatabanken, 2024; Nitare &amp; Skogsstyrelsen, 2019).</w:t>
      </w:r>
    </w:p>
    <w:p>
      <w:r>
        <w:rPr>
          <w:b/>
        </w:rPr>
        <w:t>Stuplav</w:t>
      </w:r>
      <w:r>
        <w:t xml:space="preserve"> är en mycket bra signalart i hela sitt utbredningsområde och förekommer nästan enbart i skogsmiljöer med höga naturvärden. Den indikerar långvarig förekomst av gamla lövträd och miljöer med konstant hög luftfuktighet. I skogar med suboceaniskt klimat finns det en mycket sällsynt parasit, njurlavsknapp </w:t>
      </w:r>
      <w:r>
        <w:rPr>
          <w:i/>
        </w:rPr>
        <w:t>Pletocarpon nephromeum</w:t>
      </w:r>
      <w:r>
        <w:t xml:space="preserve"> (EN), som växer på stuplav. Ytterligare tre sällsynta lavparasiter, </w:t>
      </w:r>
      <w:r>
        <w:rPr>
          <w:i/>
        </w:rPr>
        <w:t>Protounguicularia nephromatis</w:t>
      </w:r>
      <w:r>
        <w:t xml:space="preserve"> (VU), </w:t>
      </w:r>
      <w:r>
        <w:rPr>
          <w:i/>
        </w:rPr>
        <w:t>Refractohilum galligenum</w:t>
      </w:r>
      <w:r>
        <w:t xml:space="preserve"> (NT) och </w:t>
      </w:r>
      <w:r>
        <w:rPr>
          <w:i/>
        </w:rPr>
        <w:t>Roselliniella nephromatis</w:t>
      </w:r>
      <w:r>
        <w:t xml:space="preserve"> (DD), kan också påträffas på stuplav. Stuplav är typisk art för </w:t>
      </w:r>
      <w:r>
        <w:rPr>
          <w:i/>
        </w:rPr>
        <w:t>9010 Taiga</w:t>
      </w:r>
      <w:r>
        <w:t xml:space="preserve"> (SLU Artdatabanken, 2026; Nitare &amp; Skogsstyrelsen, 2019).</w:t>
      </w:r>
    </w:p>
    <w:p>
      <w:r>
        <w:rPr>
          <w:b/>
        </w:rPr>
        <w:t xml:space="preserve">Vedticka </w:t>
      </w:r>
      <w:r>
        <w:t xml:space="preserve">är en bra signalart söder om den naturliga norrlandsgränsen. Den är huvudsakligen knuten till äldre barrskogar där det föreligger långvarig kontinuitet av död barrved. Vedticka är typisk art för </w:t>
      </w:r>
      <w:r>
        <w:rPr>
          <w:i/>
        </w:rPr>
        <w:t xml:space="preserve">9010 Taiga </w:t>
      </w:r>
      <w:r>
        <w:t>(Nitare &amp; Skogsstyrelsen, 2019; SLU Artdatabanken, 2025).</w:t>
      </w:r>
    </w:p>
    <w:p>
      <w:r>
        <w:rPr>
          <w:b/>
        </w:rPr>
        <w:t>Järpe (§4)</w:t>
      </w:r>
      <w:r>
        <w:t xml:space="preserve">, som är upptagen i bilaga 1 och 2 EU:s fågeldirektiv, är mycket stationär inom sitt revir som är minst 25 hektar stort. Livsmiljöerna utgörs av tät barrskog med inblandning av lövträd och en väl utvecklad flerskiktad struktur med bärris och yngre eller undertryckta, täta granar i ett lägre skikt, ofta utmed bäckar och åar inne i den skyddande granskogen. Den överlever inte om dess livsmiljö kalavverkas och är även känslig för röjning, gallring och avverkning där unga granar och lövträd inte sparas i tillräcklig omfattning. Arten finns i sammanhängande grandominerad skog över hela Sverige men förekomsterna är betydligt glesare i Götaland än i övriga landet. Järpe är typisk art för </w:t>
      </w:r>
      <w:r>
        <w:rPr>
          <w:i/>
        </w:rPr>
        <w:t xml:space="preserve">9010 Taiga, 9080 Lövsumpskog </w:t>
      </w:r>
      <w:r>
        <w:t xml:space="preserve">och </w:t>
      </w:r>
      <w:r>
        <w:rPr>
          <w:i/>
        </w:rPr>
        <w:t xml:space="preserve">9740 Skogsbevuxen myr </w:t>
      </w:r>
      <w:r>
        <w:t>(SLU Artdatabanken, 2026).</w:t>
      </w:r>
    </w:p>
    <w:p>
      <w:r>
        <w:rPr>
          <w:b/>
        </w:rPr>
        <w:t xml:space="preserve">Linnea </w:t>
      </w:r>
      <w:r>
        <w:t xml:space="preserve">är typisk art för </w:t>
      </w:r>
      <w:r>
        <w:rPr>
          <w:i/>
        </w:rPr>
        <w:t>9010 Taiga</w:t>
      </w:r>
      <w:r>
        <w:t>. På linnea kan man hitta sporsäcksvampen linnealudd (SLU Artdatabanken, 2025).</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r>
        <w:rPr>
          <w:b/>
        </w:rPr>
        <w:t>Tjäder (§4)</w:t>
      </w:r>
      <w:r>
        <w:t xml:space="preserve">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 SLU Artdatabanken, 2024).</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6.4.1 </w:t>
      </w:r>
      <w:r>
        <w:t>Följande biotoper undantas från alla skogsbruksåtgärder, förutom åtgärder påkallade för att bevara eller främja biotopens naturliga eller hävdbetingade biologiska mångfald:</w:t>
      </w:r>
    </w:p>
    <w:p>
      <w:pPr>
        <w:ind w:left="357"/>
      </w:pPr>
      <w:r>
        <w:t>b) nyckelbiotoper enligt Skogsstyrelsens definition och metod (1995)</w:t>
      </w:r>
    </w:p>
    <w:p>
      <w:pPr>
        <w:pStyle w:val="ListBullet"/>
      </w:pPr>
      <w:r>
        <w:rPr>
          <w:b/>
          <w:i/>
        </w:rPr>
        <w:t xml:space="preserve">Kommentar: </w:t>
      </w:r>
      <w:r>
        <w:rPr>
          <w:i/>
        </w:rPr>
        <w:t>I det avverkningsanmälda skogsområdet har 43 rödlistade arter och signalarter påträffats. Detta ska jämföras med Skogsstyrelsens uppföljning 2017 av nyckelbiotoper som visade att man i genomsnitt hittar 20,6 olika rödlistade arter och signalarter i en nyckelbiotop (Wijk, S. 2017. Biologisk mångfald i nyckelbiotoper – Resultat från inventeringen “Uppföljning biologisk mångfald” 2009–2015. Rapport 4/2017 Skogsstyrelsen, Jönköping).</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50 naturvårdsarter varav 29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w:t>
        <w:br/>
        <w:t>Fridlysta och rödlistade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p>
      <w:pPr>
        <w:pStyle w:val="Heading1"/>
      </w:pPr>
      <w:r>
        <w:t>Ulltickeporing – ekologi samt krav på livsmiljön</w:t>
      </w:r>
    </w:p>
    <w:p>
      <w:r>
        <w:t xml:space="preserve">Ulltickeporing </w:t>
      </w:r>
      <w:r>
        <w:rPr>
          <w:i/>
        </w:rPr>
        <w:t>Skeletocutis brevispora</w:t>
      </w:r>
      <w:r>
        <w:t xml:space="preserve"> (VU), rödlistad som sårbar, växer på ullticka (NT) i naturskogsartade granskogar. Avverkning av naturskogslika miljöer och av grova granar där ulltickeporing förekommer är ett direkt hot mot artens fortlevnad Alla skogliga åtgärder som innebär att lågor och döda eller skadade träd tas bort missgynnar arten. På sikt är minskad tillgång till lämpligt substrat och krympande areal av naturskog ett hot, framförallt råder brist på grov ved som lågor i sena nedbrytningsstadier. Ytterligare fragmentering av skogslandskapet minskar artens möjligheter till spridning. Gamla granskogar som hyser arten undantas helt från skogsbruk (SLU Artdatabanken, 2026).</w:t>
      </w:r>
    </w:p>
    <w:p>
      <w:r>
        <w:t xml:space="preserve">Ulltickeporingen har nyligen delats upp i de tre olika arterna ulltickeporing </w:t>
      </w:r>
      <w:r>
        <w:rPr>
          <w:i/>
        </w:rPr>
        <w:t xml:space="preserve">Skeletocutis brevispora </w:t>
      </w:r>
      <w:r>
        <w:t>(VU)</w:t>
      </w:r>
      <w:r>
        <w:rPr>
          <w:i/>
        </w:rPr>
        <w:t>, Skeletocutis delicata</w:t>
      </w:r>
      <w:r>
        <w:t xml:space="preserve"> (VU)</w:t>
      </w:r>
      <w:r>
        <w:rPr>
          <w:i/>
        </w:rPr>
        <w:t xml:space="preserve"> och Skeletocutis exilis</w:t>
      </w:r>
      <w:r>
        <w:t xml:space="preserve"> (NT) (SLU Artdatabanken, 2026; Miettinen &amp; Niemelä, 2018).</w:t>
      </w:r>
    </w:p>
    <w:p>
      <w:pPr>
        <w:pStyle w:val="Heading2"/>
      </w:pPr>
      <w:r>
        <w:t>Referenser – ulltickeporing</w:t>
      </w:r>
    </w:p>
    <w:p>
      <w:r>
        <w:t xml:space="preserve">Miettinen, O. &amp; Niemelä, T., 2018. </w:t>
      </w:r>
      <w:r>
        <w:rPr>
          <w:i/>
        </w:rPr>
        <w:t>Two new temperate polypore species of Skeletocutis (Polyporales, Basidiomycota)</w:t>
      </w:r>
      <w:r>
        <w:t>. Ann. Bot. Fennici 55: 195–206.</w:t>
      </w:r>
    </w:p>
    <w:p>
      <w:r>
        <w:t xml:space="preserve">SLU Artdatabanken, 2026. </w:t>
      </w:r>
      <w:r>
        <w:rPr>
          <w:i/>
        </w:rPr>
        <w:t xml:space="preserve">Artfaktablad. Naturvård – artfakta. </w:t>
      </w:r>
      <w:r>
        <w:t>SLU Artdatabanken, Uppsala.</w:t>
      </w:r>
    </w:p>
    <w:p>
      <w:pPr>
        <w:pStyle w:val="Heading1"/>
      </w:pPr>
      <w:r>
        <w:t>Lunglav – ekologi samt krav på livsmiljön</w:t>
      </w:r>
    </w:p>
    <w:p>
      <w:r>
        <w:t xml:space="preserve">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däribland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som växer på lunglav. Rikliga förekomster med lunglav bör skyddas med biotopskydd, frivilliga avsättningar eller reservat (SLU Artdatabanken, 2026; Nitare &amp; Skogsstyrelsen, 2019).</w:t>
      </w:r>
    </w:p>
    <w:p>
      <w:r>
        <w:t xml:space="preserve">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2026. </w:t>
      </w:r>
      <w:r>
        <w:rPr>
          <w:i/>
        </w:rPr>
        <w:t xml:space="preserve">Artfaktablad. Naturvård – artfakta. </w:t>
      </w:r>
      <w:r>
        <w:t>SLU Artdatabanken, Uppsala.</w:t>
      </w:r>
    </w:p>
    <w:p>
      <w:pPr>
        <w:pStyle w:val="Heading1"/>
      </w:pPr>
      <w:r>
        <w:t>Talltita – ekologi samt krav på livsmiljön</w:t>
      </w:r>
    </w:p>
    <w:p>
      <w:r>
        <w:t>Talltita är rödlistad som NT, fridlyst och prioriterad art i Skogsvårdslagen. Den omfattas av EU:s fågeldirektiv. Arten har minskat kraftigt de senaste 30 åren och minskningstakten innevarande 10-årsperiod beräknas till 20 (10–30) % (SLU Artdatabanken, 2022).</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For. Ecol. Manage. 319, 169–175.</w:t>
      </w:r>
    </w:p>
    <w:p>
      <w:r>
        <w:t xml:space="preserve">Ekman, J., 1979. </w:t>
      </w:r>
      <w:r>
        <w:rPr>
          <w:i/>
        </w:rPr>
        <w:t xml:space="preserve">Coherence, composition and territories of winter social groups of the Willow Tit Parus montanus and the Crested Tit P. cristatus. </w:t>
      </w:r>
      <w:r>
        <w:t>Ornis Scandinavica, 10, pp 56–68</w:t>
      </w:r>
    </w:p>
    <w:p>
      <w:r>
        <w:t xml:space="preserve">Griesser, M., Nystrand, M., Eggers, S., Ekman, J., 2007. </w:t>
      </w:r>
      <w:r>
        <w:rPr>
          <w:i/>
        </w:rPr>
        <w:t xml:space="preserve">Impact of forestry practices on fitness correlates and population productivity in an open-nesting bird species. </w:t>
      </w:r>
      <w:r>
        <w:t>Conserv. Biol. 21, 767–774. https://doi.org/10.1111/j.1523- 1739.2007.00675.x</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p>
      <w:pPr>
        <w:pStyle w:val="Heading1"/>
      </w:pPr>
      <w:r>
        <w:t>Järpe – ekologi samt krav på livsmiljön</w:t>
      </w:r>
    </w:p>
    <w:p>
      <w:r>
        <w:t>Järpe är fridlyst enligt 4§ artskyddsförordningen och upptagen i bilaga 1 och 2 EU:s fågeldirektiv. Den finns i sammanhängande grandominerad skog över hela Sverige men förekomsterna är betydligt glesare i Götaland än i övriga landet. Järpen har sina livsmiljöer i tät barrskog med inblandning av lövträd och en väl utvecklad flerskiktad struktur med bärris och yngre eller undertryckta, täta granar i ett lägre skikt, ofta utmed bäckar och åar inne i den skyddande granskogen (SLU Artdatabanken, 2026).</w:t>
      </w:r>
    </w:p>
    <w:p>
      <w:r>
        <w:t xml:space="preserve">Arten behöver lämpliga skogsbestånd om sammanlagt minst 25 hektar. Den är mycket stationär inom sitt revir och när ett par etablerat sig stannar de så länge miljön är intakt. Den undviker öppen mark och förﬂyttar sig sällan över större öppna myrar eller åkermark, och är därför känslig för fragmentering. Järpen överlever inte om dess livsmiljö kalavverkas och är även känslig för röjning, gallring och avverkning där unga granar och lövträd inte sparas i tillräcklig omfattning.  Järpe är typisk art för </w:t>
      </w:r>
      <w:r>
        <w:rPr>
          <w:i/>
        </w:rPr>
        <w:t>9010 Taiga, 9740 Skogsbevuxen myr</w:t>
      </w:r>
      <w:r>
        <w:t xml:space="preserve"> och </w:t>
      </w:r>
      <w:r>
        <w:rPr>
          <w:i/>
        </w:rPr>
        <w:t>9080 Lövsumpskog</w:t>
      </w:r>
      <w:r>
        <w:t xml:space="preserve"> (SLU Artdatabanken, 2026).</w:t>
      </w:r>
    </w:p>
    <w:p>
      <w:pPr>
        <w:pStyle w:val="Heading2"/>
      </w:pPr>
      <w:r>
        <w:t>Referenser – järpe</w:t>
      </w:r>
    </w:p>
    <w:p>
      <w:r>
        <w:t xml:space="preserve">SLU Artdatabanken, 2026. </w:t>
      </w:r>
      <w:r>
        <w:rPr>
          <w:i/>
        </w:rPr>
        <w:t xml:space="preserve">Artfaktablad. Naturvård – artfakta. </w:t>
      </w:r>
      <w:r>
        <w:t>SLU Artdatabanken, Uppsala</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p>
      <w:pPr>
        <w:pStyle w:val="Heading1"/>
      </w:pPr>
      <w:r>
        <w:t>Tjäder – ekologi samt krav på livsmiljön</w:t>
      </w:r>
    </w:p>
    <w:p>
      <w:r>
        <w:t xml:space="preserve">Tjäder (§4)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(Skogsstyrelsen, 2019; SLU Artdatabanken 2024).</w:t>
      </w:r>
    </w:p>
    <w:p>
      <w:r>
        <w:t>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w:t>
      </w:r>
    </w:p>
    <w:p>
      <w:pPr>
        <w:pStyle w:val="Heading2"/>
      </w:pPr>
      <w:r>
        <w:t>Referenser – tjäder</w:t>
      </w:r>
    </w:p>
    <w:p>
      <w:r>
        <w:t xml:space="preserve">Skogsstyrelsen, 2019. </w:t>
      </w:r>
      <w:r>
        <w:rPr>
          <w:i/>
        </w:rPr>
        <w:t>Vägledning för hänsyn till fåglar – tjäder.</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2026-10-24</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