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18081-2025 i Ånge kommun</w:t>
      </w:r>
    </w:p>
    <w:p>
      <w:r>
        <w:t>Denna tillsynsbegäran behandlar höga naturvärden i avverkningsanmälan A 18081-2025 i Ånge kommun som inkom 2025-04-14 och omfattar 2,6 ha.</w:t>
      </w:r>
    </w:p>
    <w:p>
      <w:pPr>
        <w:pStyle w:val="Caption"/>
      </w:pPr>
      <w:r>
        <w:drawing>
          <wp:inline xmlns:a="http://schemas.openxmlformats.org/drawingml/2006/main" xmlns:pic="http://schemas.openxmlformats.org/drawingml/2006/picture">
            <wp:extent cx="5486400" cy="5143500"/>
            <wp:docPr id="1" name="Picture 1"/>
            <wp:cNvGraphicFramePr>
              <a:graphicFrameLocks noChangeAspect="1"/>
            </wp:cNvGraphicFramePr>
            <a:graphic>
              <a:graphicData uri="http://schemas.openxmlformats.org/drawingml/2006/picture">
                <pic:pic>
                  <pic:nvPicPr>
                    <pic:cNvPr id="0" name="A 18081-2025 karta.png"/>
                    <pic:cNvPicPr/>
                  </pic:nvPicPr>
                  <pic:blipFill>
                    <a:blip r:embed="rId16"/>
                    <a:stretch>
                      <a:fillRect/>
                    </a:stretch>
                  </pic:blipFill>
                  <pic:spPr>
                    <a:xfrm>
                      <a:off x="0" y="0"/>
                      <a:ext cx="5486400" cy="5143500"/>
                    </a:xfrm>
                    <a:prstGeom prst="rect"/>
                  </pic:spPr>
                </pic:pic>
              </a:graphicData>
            </a:graphic>
          </wp:inline>
        </w:drawing>
      </w:r>
    </w:p>
    <w:p>
      <w:pPr>
        <w:pStyle w:val="Caption"/>
        <w:spacing w:after="240"/>
      </w:pPr>
      <w:r>
        <w:t>Figur 1. Fyndplatser för naturvårdsarter i och inom 1 meter från avverkningsanmälan. Markörer utan svart kant är placerade på fyndplatsen. Markörer med svart kant är placerade vid sidan av fyndplatsen och har ett svart streck som visar fyndplatsens exakta position. Kartans mittpunktskoordinat är N 6939757, E 526568 i SWEREF 99 TM.</w:t>
      </w:r>
    </w:p>
    <w:p>
      <w:r>
        <w:t>I och inom 1 meter från avverkningsanmälan finns fynd av 4 naturvårdsarter, varav 4 är rödlistade, 1 är fridlyst och 3 är typiska (T): knärot (VU, T, §8), dofttaggsvamp (NT, T), dropptaggsvamp (NT, T) och svartvit taggsvamp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0.20 ha med buffertzonerna och får av detta skäl inte avverkas.</w:t>
      </w:r>
    </w:p>
    <w:p>
      <w:pPr>
        <w:pStyle w:val="Caption"/>
      </w:pPr>
      <w:r>
        <w:drawing>
          <wp:inline xmlns:a="http://schemas.openxmlformats.org/drawingml/2006/main" xmlns:pic="http://schemas.openxmlformats.org/drawingml/2006/picture">
            <wp:extent cx="5486400" cy="6600011"/>
            <wp:docPr id="2" name="Picture 2"/>
            <wp:cNvGraphicFramePr>
              <a:graphicFrameLocks noChangeAspect="1"/>
            </wp:cNvGraphicFramePr>
            <a:graphic>
              <a:graphicData uri="http://schemas.openxmlformats.org/drawingml/2006/picture">
                <pic:pic>
                  <pic:nvPicPr>
                    <pic:cNvPr id="0" name="A 18081-2025 karta knärot.png"/>
                    <pic:cNvPicPr/>
                  </pic:nvPicPr>
                  <pic:blipFill>
                    <a:blip r:embed="rId17"/>
                    <a:stretch>
                      <a:fillRect/>
                    </a:stretch>
                  </pic:blipFill>
                  <pic:spPr>
                    <a:xfrm>
                      <a:off x="0" y="0"/>
                      <a:ext cx="5486400" cy="6600011"/>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6939757, E 526568 i SWEREF 99 TM.</w:t>
      </w:r>
    </w:p>
    <w:p>
      <w:r>
        <w:rPr>
          <w:b/>
        </w:rPr>
        <w:t xml:space="preserve">Dofttaggsvamp (NT) </w:t>
      </w:r>
      <w:r>
        <w:t xml:space="preserve">bildar mykorrhiza med gran i framför allt äldre ängsgranskog eller örtrik granskog av frisk lågörttyp. Arten hotas huvudsakligen av slutavverkning och den överlever sannolikt inte en avverkning eftersom den är beroende de levande barrträdens rötter. Troligen missgynnas den av allt för hård gallring eller plockhuggning om huggningen inte efterföljs av skogsbete. Fler örtrika barrskogar, särskilt de med trädkontinuitet, måste skyddas i större utsträckning än vad som tidigare gjorts. Dofttaggsvamp är typisk art för </w:t>
      </w:r>
      <w:r>
        <w:rPr>
          <w:i/>
        </w:rPr>
        <w:t>9050 Näringsrik granskog</w:t>
      </w:r>
      <w:r>
        <w:t xml:space="preserve"> (SLU Artdatabanken, 2024).</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 xml:space="preserve">Svartvit taggsvamp (NT) </w:t>
      </w:r>
      <w:r>
        <w:t>bildar mykorrhiza med tall, troligen även med gran. Den växer huvudsakligen i äldre, naturligt uppkommen skog på torr eller frisk mark och förekommer såväl på tallhedar som i mossig barrblandskog. Flera olika former har påträffats vid DNA-undersökningar av europeiskt material och det är oklart hur många former som finns i värd land. Kalavverkning av äldre skog är ett reellt hot, liksom maskinell markberedning och minskad andel självföryngring. Lokaler som fortfarande håller svampen behöver säkerställas (SLU Artdatabanken, 2024; Nitare &amp; Skogsstyrelsen, 2019).</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