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55860-2024 i Ånge kommun</w:t>
      </w:r>
    </w:p>
    <w:p>
      <w:r>
        <w:t>Denna tillsynsbegäran behandlar höga naturvärden i avverkningsanmälan A 55860-2024 i Ånge kommun som inkom 2024-11-27 och omfattar 19,0 ha.</w:t>
      </w:r>
    </w:p>
    <w:p>
      <w:pPr>
        <w:pStyle w:val="Caption"/>
      </w:pPr>
      <w:r>
        <w:drawing>
          <wp:inline xmlns:a="http://schemas.openxmlformats.org/drawingml/2006/main" xmlns:pic="http://schemas.openxmlformats.org/drawingml/2006/picture">
            <wp:extent cx="4585101" cy="5724000"/>
            <wp:docPr id="1" name="Picture 1"/>
            <wp:cNvGraphicFramePr>
              <a:graphicFrameLocks noChangeAspect="1"/>
            </wp:cNvGraphicFramePr>
            <a:graphic>
              <a:graphicData uri="http://schemas.openxmlformats.org/drawingml/2006/picture">
                <pic:pic>
                  <pic:nvPicPr>
                    <pic:cNvPr id="0" name="A 55860-2024 karta.png"/>
                    <pic:cNvPicPr/>
                  </pic:nvPicPr>
                  <pic:blipFill>
                    <a:blip r:embed="rId16"/>
                    <a:stretch>
                      <a:fillRect/>
                    </a:stretch>
                  </pic:blipFill>
                  <pic:spPr>
                    <a:xfrm>
                      <a:off x="0" y="0"/>
                      <a:ext cx="458510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6943583, E 540394 i SWEREF 99 TM.</w:t>
      </w:r>
    </w:p>
    <w:p>
      <w:r>
        <w:t>I och inom 23 meter från avverkningsanmälan finns fynd av 30 naturvårdsarter, varav 28 är rödlistade, 3 är fridlysta, 15 är typiska (T) och 1 är signalart (S): urskogsticka (EN), fjällfotad musseron (VU), fläckporing (VU, T), garnlav (VU, T), goliatmusseron (VU, T), gräddporing (VU, T), knärot (VU, T, §8), lammticka (VU), skrovlig taggsvamp (VU), barrfagerspindling (NT), blå taggsvamp (NT, T), dofttaggsvamp (NT, T), dropptaggsvamp (NT, T), dvärgbägarlav (NT, T), kolflarnlav (NT, T), kortskaftad ärgspik (NT), mörk kolflarnlav (NT), nordtagging (NT), orange taggsvamp (NT, T), skarp dropptaggsvamp (NT), stiftgelélav (NT, T), talltita (NT, §4), vaddporing (NT), vedflamlav (NT), vedskivlav (NT, T), vedtrappmossa (NT, T), vitplätt (NT), äggvaxskivling (NT), norrlandslav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10156122"/>
            <wp:docPr id="2" name="Picture 2"/>
            <wp:cNvGraphicFramePr>
              <a:graphicFrameLocks noChangeAspect="1"/>
            </wp:cNvGraphicFramePr>
            <a:graphic>
              <a:graphicData uri="http://schemas.openxmlformats.org/drawingml/2006/picture">
                <pic:pic>
                  <pic:nvPicPr>
                    <pic:cNvPr id="0" name="A 55860-2024 karta knärot.png"/>
                    <pic:cNvPicPr/>
                  </pic:nvPicPr>
                  <pic:blipFill>
                    <a:blip r:embed="rId17"/>
                    <a:stretch>
                      <a:fillRect/>
                    </a:stretch>
                  </pic:blipFill>
                  <pic:spPr>
                    <a:xfrm>
                      <a:off x="0" y="0"/>
                      <a:ext cx="5486400" cy="101561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6943583, E 540394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goliatmusseron (VU, T), gräddporing (VU, T), knärot (VU, T, §8), blå taggsvamp (NT, T), dofttaggsvamp (NT, T), dropptaggsvamp (NT, T), dvärgbägarlav (NT, T), kolflarnlav (NT, T), orange taggsvamp (NT, T), stiftgelélav (NT, T), vedskivlav (NT, T), vedtrappmossa (NT,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