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31113-2025 i Ånge kommun</w:t>
      </w:r>
    </w:p>
    <w:p>
      <w:r>
        <w:t>Detta dokument behandlar höga naturvärden i avverkningsanmälan A 31113-2025 i Ånge kommun. Denna avverkningsanmälan inkom 2025-06-24 14:45:37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brunklöver (NT), månlåsbräken (NT), skogsklocka (NT), finbräken (S), guckusko (S, §7), trådfräken (S), tvåblad (S, §8) och brudsporre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31113-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6940010, E 536921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Fridlysta arter</w:t>
      </w:r>
    </w:p>
    <w:p>
      <w:r>
        <w:t>Följande fridlysta arter har sina livsmiljöer och växtplatser i den avverkningsanmälda skogen: guckusko (S, §7), tvåblad (S, §8) och brudsporre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