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1066-2025 i Ånge kommun</w:t>
      </w:r>
    </w:p>
    <w:p>
      <w:r>
        <w:t>Denna tillsynsbegäran behandlar höga naturvärden i samrådsanmälan S 1066-2025 i Ånge kommun som inkom 2025-04-02 och omfattar 2,8 ha.</w:t>
      </w:r>
    </w:p>
    <w:p>
      <w:pPr>
        <w:pStyle w:val="Caption"/>
      </w:pPr>
      <w:r>
        <w:drawing>
          <wp:inline xmlns:a="http://schemas.openxmlformats.org/drawingml/2006/main" xmlns:pic="http://schemas.openxmlformats.org/drawingml/2006/picture">
            <wp:extent cx="5486400" cy="5412871"/>
            <wp:docPr id="1" name="Picture 1"/>
            <wp:cNvGraphicFramePr>
              <a:graphicFrameLocks noChangeAspect="1"/>
            </wp:cNvGraphicFramePr>
            <a:graphic>
              <a:graphicData uri="http://schemas.openxmlformats.org/drawingml/2006/picture">
                <pic:pic>
                  <pic:nvPicPr>
                    <pic:cNvPr id="0" name="S 1066-2025 karta.png"/>
                    <pic:cNvPicPr/>
                  </pic:nvPicPr>
                  <pic:blipFill>
                    <a:blip r:embed="rId16"/>
                    <a:stretch>
                      <a:fillRect/>
                    </a:stretch>
                  </pic:blipFill>
                  <pic:spPr>
                    <a:xfrm>
                      <a:off x="0" y="0"/>
                      <a:ext cx="5486400" cy="5412871"/>
                    </a:xfrm>
                    <a:prstGeom prst="rect"/>
                  </pic:spPr>
                </pic:pic>
              </a:graphicData>
            </a:graphic>
          </wp:inline>
        </w:drawing>
      </w:r>
    </w:p>
    <w:p>
      <w:pPr>
        <w:pStyle w:val="Caption"/>
        <w:spacing w:after="240"/>
      </w:pPr>
      <w:r>
        <w:t>Figur 1. Fyndplatser för naturvårdsarter i och inom 10 meter från samrådsanmälan. Markörer utan svart kant är placerade på fyndplatsen. Markörer med svart kant är placerade vid sidan av fyndplatsen och har ett svart streck som visar fyndplatsens exakta position. Kartans mittpunktskoordinat är N 6934834, E 522921 i SWEREF 99 TM.</w:t>
      </w:r>
    </w:p>
    <w:p>
      <w:r>
        <w:t>I och inom 10 meter från samrådsanmälan finns fynd av 14 naturvårdsarter, varav 11 är rödlistade, 3 är fridlysta, 11 är typiska (T) och 1 är signalart (S): djupsvart brunbagge (EN), urskogsporing (EN), garnlav (VU, T), gränsticka (VU, T), knärot (VU, T, §8), dropptaggsvamp (NT, T), kolflarnlav (NT, T), lunglav (NT, T), rosenticka (NT, T), tretåig hackspett (NT, T, §4), ullticka (NT, T), skinnlav (S, T), linnea (T)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Djupsvart brunbagge (EN)</w:t>
      </w:r>
      <w:r>
        <w:t xml:space="preserve"> är rödlistad som starkt hotad och omfattas av åtgärdsprogram för björklevande vedskalbaggar i Norrland. Arten utvecklas i svampangripen vitrötad lövträdsved och i norra Sverige är fynd framförallt gjorda i döda björkar, särskilt högstubbar av grova vårtbjörkar med fnösktickor (SLU Artdatabanken, 2021; Naturvårdsverket, 2008). Av den uppdaterade åtgärdstabellen för djupsvart brunbagge (2020–2027) framgår det att formellt skydd av större områden är nödvändigt för att klara arten på sikt, i kombination med den naturvårdsskötsel, ekoparker och frivilliga avsättningar som skogsägare arbetar med. 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10 fyndplatser för knärot registrerade på Artportalen. Figur 2 visar gränserna för buffertzoner på 50 m, som behöver lämnas kring fyndplatserna för att knärotslokalerna inte ska försvinna vid en avverkning. Av det samrådsanmälda området överlappar 2.12 ha med buffertzonerna och får av detta skäl inte avverkas.</w:t>
      </w:r>
    </w:p>
    <w:p>
      <w:pPr>
        <w:pStyle w:val="Caption"/>
      </w:pPr>
      <w:r>
        <w:drawing>
          <wp:inline xmlns:a="http://schemas.openxmlformats.org/drawingml/2006/main" xmlns:pic="http://schemas.openxmlformats.org/drawingml/2006/picture">
            <wp:extent cx="5486400" cy="5165889"/>
            <wp:docPr id="2" name="Picture 2"/>
            <wp:cNvGraphicFramePr>
              <a:graphicFrameLocks noChangeAspect="1"/>
            </wp:cNvGraphicFramePr>
            <a:graphic>
              <a:graphicData uri="http://schemas.openxmlformats.org/drawingml/2006/picture">
                <pic:pic>
                  <pic:nvPicPr>
                    <pic:cNvPr id="0" name="S 1066-2025 karta knärot.png"/>
                    <pic:cNvPicPr/>
                  </pic:nvPicPr>
                  <pic:blipFill>
                    <a:blip r:embed="rId17"/>
                    <a:stretch>
                      <a:fillRect/>
                    </a:stretch>
                  </pic:blipFill>
                  <pic:spPr>
                    <a:xfrm>
                      <a:off x="0" y="0"/>
                      <a:ext cx="5486400" cy="516588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6934834, E 522921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Linnea </w:t>
      </w:r>
      <w:r>
        <w:t xml:space="preserve">är typisk art för </w:t>
      </w:r>
      <w:r>
        <w:rPr>
          <w:i/>
        </w:rPr>
        <w:t>9010 Taiga</w:t>
      </w:r>
      <w:r>
        <w:t>. På linnea kan man hitta sporsäcksvampen linnealudd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gränsticka (VU, T), knärot (VU, T, §8), dropptaggsvamp (NT, T), kolflarnlav (NT, T), lunglav (NT, T), rosenticka (NT, T), tretåig hackspett (NT, T, §4), ullticka (NT, T), skinnlav (S, T) och linnea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Djupsvart brunbagge – ekologi samt krav på livsmiljön</w:t>
      </w:r>
    </w:p>
    <w:p>
      <w:r>
        <w:t>Djupsvart brunbagge är rödlistad som starkt hotad (EN) och omfattas av åtgärdsprogram för björklevande vedskalbaggar i Norrland. Djupsvart brunbagge utvecklas i svampangripen vitrötad lövträdsved. I norra Sverige är fynd framförallt gjorda i döda björkar, särskilt högstubbar av grova vårtbjörkar med fnösktickor (SLU Artdatabanken, 2021; Naturvårdsverket, 2008).</w:t>
      </w:r>
    </w:p>
    <w:p>
      <w:r>
        <w:t>Av den uppdaterade åtgärdstabellen för djupsvart brunbagge (2020–2027) framgår det att formellt skydd av större områden är nödvändigt för att klara arten på sikt, i kombination med den naturvårdsskötsel, ekoparker och frivilliga avsättningar som skogsägare arbetar med (Naturvårdsverket och Länsstyrelsen Gävleborg, 2022).</w:t>
      </w:r>
    </w:p>
    <w:p>
      <w:r>
        <w:t>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pPr>
        <w:pStyle w:val="Heading2"/>
      </w:pPr>
      <w:r>
        <w:t>Referenser – djupsvart brunbagge</w:t>
      </w:r>
    </w:p>
    <w:p>
      <w:r>
        <w:t xml:space="preserve">Naturvårdsverket &amp; Länsstyrelsen Gävleborg, 2022. </w:t>
      </w:r>
      <w:r>
        <w:rPr>
          <w:i/>
        </w:rPr>
        <w:t xml:space="preserve">Uppdaterad åtgärdstabell för björklevande vedskalbaggar, 2020–2027. </w:t>
      </w:r>
      <w:r>
        <w:t>Naturvårdsverket Stockholm.</w:t>
      </w:r>
    </w:p>
    <w:p>
      <w:r>
        <w:t xml:space="preserve">Naturvårdsverket, 2008. </w:t>
      </w:r>
      <w:r>
        <w:rPr>
          <w:i/>
        </w:rPr>
        <w:t xml:space="preserve">Åtgärdsprogram för björklevande vedskalbaggar i Norrland 2008–2012. </w:t>
      </w:r>
      <w:r>
        <w:t>Rapport 5843 – November 2008</w:t>
      </w:r>
    </w:p>
    <w:p>
      <w:r>
        <w:t xml:space="preserve">SLU Artdatabanken, 2021.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