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1081-2025 i Ånge kommun</w:t>
      </w:r>
    </w:p>
    <w:p>
      <w:r>
        <w:t>Denna tillsynsbegäran behandlar höga naturvärden i samrådsanmälan S 1081-2025 i Ånge kommun som inkom 2025-04-02 och omfattar 3,3 ha.</w:t>
      </w:r>
    </w:p>
    <w:p>
      <w:pPr>
        <w:pStyle w:val="Caption"/>
      </w:pPr>
      <w:r>
        <w:drawing>
          <wp:inline xmlns:a="http://schemas.openxmlformats.org/drawingml/2006/main" xmlns:pic="http://schemas.openxmlformats.org/drawingml/2006/picture">
            <wp:extent cx="5486400" cy="5656082"/>
            <wp:docPr id="1" name="Picture 1"/>
            <wp:cNvGraphicFramePr>
              <a:graphicFrameLocks noChangeAspect="1"/>
            </wp:cNvGraphicFramePr>
            <a:graphic>
              <a:graphicData uri="http://schemas.openxmlformats.org/drawingml/2006/picture">
                <pic:pic>
                  <pic:nvPicPr>
                    <pic:cNvPr id="0" name="S 1081-2025 karta.png"/>
                    <pic:cNvPicPr/>
                  </pic:nvPicPr>
                  <pic:blipFill>
                    <a:blip r:embed="rId16"/>
                    <a:stretch>
                      <a:fillRect/>
                    </a:stretch>
                  </pic:blipFill>
                  <pic:spPr>
                    <a:xfrm>
                      <a:off x="0" y="0"/>
                      <a:ext cx="5486400" cy="5656082"/>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6937052, E 521842 i SWEREF 99 TM.</w:t>
      </w:r>
    </w:p>
    <w:p>
      <w:r>
        <w:t>I och inom 25 meter från samrådsanmälan finns fynd av 16 naturvårdsarter, varav 10 är rödlistade, 4 är fridlysta, 12 är typiska (T) och 4 är signalarter (S): garnlav (VU, T), knärot (VU, T, §8), dropptaggsvamp (NT, T), dvärgbägarlav (NT, T), kolflarnlav (NT, T), lunglav (NT, T), mörk kolflarnlav (NT), talltita (NT, §4), vedflamlav (NT), vedskivlav (NT, T), grönpyrola (S, T), nästlav (S, T), spindelblomster (S, T, §8), stuplav (S, T), ormbär (T)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10 fyndplatser för knärot registrerade på Artportalen. Figur 2 visar gränserna för buffertzoner på 50 m, som behöver lämnas kring fyndplatserna för att knärotslokalerna inte ska försvinna vid en avverkning. Av det samrådsanmälda området överlappar 2.45 ha med buffertzonerna och får av detta skäl inte avverkas.</w:t>
      </w:r>
    </w:p>
    <w:p>
      <w:pPr>
        <w:pStyle w:val="Caption"/>
      </w:pPr>
      <w:r>
        <w:drawing>
          <wp:inline xmlns:a="http://schemas.openxmlformats.org/drawingml/2006/main" xmlns:pic="http://schemas.openxmlformats.org/drawingml/2006/picture">
            <wp:extent cx="5486400" cy="5420412"/>
            <wp:docPr id="2" name="Picture 2"/>
            <wp:cNvGraphicFramePr>
              <a:graphicFrameLocks noChangeAspect="1"/>
            </wp:cNvGraphicFramePr>
            <a:graphic>
              <a:graphicData uri="http://schemas.openxmlformats.org/drawingml/2006/picture">
                <pic:pic>
                  <pic:nvPicPr>
                    <pic:cNvPr id="0" name="S 1081-2025 karta knärot.png"/>
                    <pic:cNvPicPr/>
                  </pic:nvPicPr>
                  <pic:blipFill>
                    <a:blip r:embed="rId17"/>
                    <a:stretch>
                      <a:fillRect/>
                    </a:stretch>
                  </pic:blipFill>
                  <pic:spPr>
                    <a:xfrm>
                      <a:off x="0" y="0"/>
                      <a:ext cx="5486400" cy="5420412"/>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6937052, E 521842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Ormbär</w:t>
      </w:r>
      <w:r>
        <w:t xml:space="preserve"> är typisk art för </w:t>
      </w:r>
      <w:r>
        <w:rPr>
          <w:i/>
        </w:rPr>
        <w:t xml:space="preserve">9050 Näringsrik granskog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garnlav (VU, T), knärot (VU, T, §8), dropptaggsvamp (NT, T), dvärgbägarlav (NT, T), kolflarnlav (NT, T), lunglav (NT, T), vedskivlav (NT, T), grönpyrola (S, T), nästlav (S, T), spindelblomster (S, T, §8), stuplav (S, T) och ormbär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