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26476-2025 i Ånge kommun</w:t>
      </w:r>
    </w:p>
    <w:p>
      <w:r>
        <w:t>Detta dokument behandlar höga naturvärden i avverkningsanmälan A 26476-2025 i Ånge kommun. Denna avverkningsanmälan inkom 2025-05-30 00:00:00 och omfattar 10,9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33 naturvårdsarter hittats: gräddporing (VU), gräddticka (VU), knärot (VU, §8), lappticka (VU), rynkskinn (VU), doftskinn (NT), garnlav (NT), granticka (NT), gränsticka (NT), kandelabersvamp (NT), kolflarnlav (NT), lunglav (NT), mörk kolflarnlav (NT), rosenticka (NT), skrovellav (NT), spillkråka (NT, §4), talltita (NT, §4), ullticka (NT), vedskivlav (NT), violmussling (NT), aspvedgnagare (S), dropptaggsvamp (S), korallblylav (S), norrlandslav (S), spindelblomster (S, §8), stor aspticka (S), stuplav (S), trådticka (S), vedticka (S), tjäder (§4), fläcknycklar (§8), nattviol (§8) och blåsippa (§9). Av dessa är 20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947396"/>
            <wp:docPr id="1" name="Picture 1"/>
            <wp:cNvGraphicFramePr>
              <a:graphicFrameLocks noChangeAspect="1"/>
            </wp:cNvGraphicFramePr>
            <a:graphic>
              <a:graphicData uri="http://schemas.openxmlformats.org/drawingml/2006/picture">
                <pic:pic>
                  <pic:nvPicPr>
                    <pic:cNvPr id="0" name="A 26476-2025 karta.png"/>
                    <pic:cNvPicPr/>
                  </pic:nvPicPr>
                  <pic:blipFill>
                    <a:blip r:embed="rId16"/>
                    <a:stretch>
                      <a:fillRect/>
                    </a:stretch>
                  </pic:blipFill>
                  <pic:spPr>
                    <a:xfrm>
                      <a:off x="0" y="0"/>
                      <a:ext cx="5486400" cy="394739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6936524, E 522188 i SWEREF 99 TM.</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Gräddticka (VU)</w:t>
      </w:r>
      <w:r>
        <w:t xml:space="preserve"> har klassificerats som en ”gammelskogsindikator” och signalerar granskogar med höga naturvärden. Den kräver miljöer med hög och jämn fuktighet och växtplatserna ligger oftast på näringsrik, fuktig eller blöt mark där lågan och den murkna veden hålls konstant fuktig. Slutavverkning av gammelgranskog är ett direkt hot mot artens existens i landet och artens växtplatser måste undantas från skogsbruk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Kandelabersvamp (NT)</w:t>
      </w:r>
      <w:r>
        <w:t xml:space="preserve"> är en mycket bra signalart på skyddsvärda skogsbestånd i hela sitt utbredningsområde. Svampen indikerar sena aspsuccessioner inom områden med konstant hög luftfuktighet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Korallblylav</w:t>
      </w:r>
      <w:r>
        <w:t xml:space="preserve"> växer på bark av asp, ask, rönn, sälg, bok och lönn och signalerar överallt skogsbestånd med höga naturvärden och den följs nästan alltid av andra ovanliga och rödlistade arter. Den indikerar hög och jämn luftfuktighet och växer främst i områden med lång skoglig kontinuitet där det funnits ett ständigt inslag av gamla lövträd (SLU Artdatabanken, 2024; Nitare &amp; Skogsstyrelsen, 2019).</w:t>
      </w:r>
    </w:p>
    <w:p>
      <w:r>
        <w:rPr>
          <w:b/>
        </w:rPr>
        <w:t>Lappticka (VU)</w:t>
      </w:r>
      <w:r>
        <w:t>, rödlistad som sårbar, är knuten till gamla granskogar med riklig förekomst av död ved. Den klassas som en “urskogsindikator” och alla skogsskötselåtgärder på eller i omedelbar närhet av lokalerna utgör ett hot (Nitare &amp; Skogsstyrelsen, 2019;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Rynkskinn (VU)</w:t>
      </w:r>
      <w:r>
        <w:t>, rödlistad som sårbar, är en vednedbrytare som växer på grova granlågor och ingår i en karaktäristisk association av vedsvampar knutna till urskogsartade barrskogar. Den har klassificerats som en “urskogsindikator” och är placerad i toppen av Skogsstyrelsens värdepyramid för bedömning av skog med höga naturvärden. Allt tyder på att rynkskinn är mycket känslig för skogliga ingrepp (Nitare &amp; Skogsstyrelsen, 2019;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Stor aspticka</w:t>
      </w:r>
      <w:r>
        <w:t xml:space="preserve"> är knuten till gamla levande aspar och orsakar karaktäristiska inbuktningar i stammen (så kallad nekroser). Slutavverknings- och gallringsåtgärder i löv- och blandskogsbestånd som innebär att tillgången på grov asp minskar är ett hot mot arten. Det är viktigt att äldre aspar och aspbestånd sparas och för att gynna arten på sikt bör aspinslagen i t.ex. bergbranter, raviner, skogsbryn och kring äldre odlingsmarker generellt sparas i större utsträckning än vad som görs idag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r>
        <w:rPr>
          <w:b/>
        </w:rPr>
        <w:t>Violmussling (NT)</w:t>
      </w:r>
      <w:r>
        <w:t xml:space="preserve"> växer på döda, oftast omkullfallna stammar av gran eller tall. De flesta fynden har gjorts i gammal, orörd skog och arten är en mycket god indikator på förekomst av lång skoglig kontinuitet. Platser som hyser stora bestånd av violmussling bör i första hand skyddas och undantas från skogsbruk. Flera sällsynta och mycket sällsynta tickor och skalbaggar är mer eller mindre starkt associerade med violtickor </w:t>
      </w:r>
      <w:r>
        <w:rPr>
          <w:i/>
        </w:rPr>
        <w:t>Trichaptum spp.</w:t>
      </w:r>
      <w:r>
        <w:t xml:space="preserve"> och död ved som först rötats av någon </w:t>
      </w:r>
      <w:r>
        <w:rPr>
          <w:i/>
        </w:rPr>
        <w:t>Trichaptum-art</w:t>
      </w:r>
      <w:r>
        <w:t>. Bland dessa kan nämnas brunkantad brunbagge</w:t>
      </w:r>
      <w:r>
        <w:rPr>
          <w:i/>
        </w:rPr>
        <w:t xml:space="preserve"> </w:t>
      </w:r>
      <w:r>
        <w:t>(RE), gul mjukporing (CR), lämmelporing (EN), parasitporing (VU), gropig brunbagge (NT), gulbandad brunbagge</w:t>
      </w:r>
      <w:r>
        <w:rPr>
          <w:i/>
        </w:rPr>
        <w:t xml:space="preserve"> </w:t>
      </w:r>
      <w:r>
        <w:t>(NT) och kilporing (NT) (SLU Artdatabanken, 2024; Nitare &amp; Skogsstyrelsen, 2019).</w:t>
      </w:r>
    </w:p>
    <w:p>
      <w:pPr>
        <w:pStyle w:val="Heading1"/>
      </w:pPr>
      <w:r>
        <w:t>Fridlysta arter</w:t>
      </w:r>
    </w:p>
    <w:p>
      <w:r>
        <w:t>Följande fridlysta arter har sina livsmiljöer och växtplatser i den avverkningsanmälda skogen: knärot (VU, §8), spillkråka (NT, §4), talltita (NT, §4), spindelblomster (S, §8), tjäder (§4), fläcknycklar (§8), nattviol (§8) och blåsippa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60 fyndplatser för knärot registrerade på Artportalen. Figur 2 visar gränserna för buffertzoner på 50 m, som behöver lämnas kring fyndplatserna för att knärotslokalerna inte ska försvinna vid en avverkning. Av det avverkningsanmälda området överlappar 7.94 ha med buffertzonerna och får av detta skäl inte avverkas.</w:t>
      </w:r>
    </w:p>
    <w:p>
      <w:pPr>
        <w:pStyle w:val="Caption"/>
      </w:pPr>
      <w:r>
        <w:drawing>
          <wp:inline xmlns:a="http://schemas.openxmlformats.org/drawingml/2006/main" xmlns:pic="http://schemas.openxmlformats.org/drawingml/2006/picture">
            <wp:extent cx="5486400" cy="4628879"/>
            <wp:docPr id="2" name="Picture 2"/>
            <wp:cNvGraphicFramePr>
              <a:graphicFrameLocks noChangeAspect="1"/>
            </wp:cNvGraphicFramePr>
            <a:graphic>
              <a:graphicData uri="http://schemas.openxmlformats.org/drawingml/2006/picture">
                <pic:pic>
                  <pic:nvPicPr>
                    <pic:cNvPr id="0" name="A 26476-2025 karta knärot.png"/>
                    <pic:cNvPicPr/>
                  </pic:nvPicPr>
                  <pic:blipFill>
                    <a:blip r:embed="rId17"/>
                    <a:stretch>
                      <a:fillRect/>
                    </a:stretch>
                  </pic:blipFill>
                  <pic:spPr>
                    <a:xfrm>
                      <a:off x="0" y="0"/>
                      <a:ext cx="5486400" cy="4628879"/>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6936524, E 522188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29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33 naturvårdsarter varav 20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2025-10-28</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