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32897-2023 i Ånge kommun</w:t>
      </w:r>
    </w:p>
    <w:p>
      <w:r>
        <w:t>Detta dokument behandlar höga naturvärden i avverkningsanmälan A 32897-2023 i Ånge kommun. Denna avverkningsanmälan inkom 2023-07-17 00:00:00 och omfattar 8,1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19 naturvårdsarter hittats: doftticka (VU, §8), knärot (VU, §8), rynkskinn (VU), gammelgransskål (NT), garnlav (NT), grynig filtlav (NT), järpe (NT, §4), lunglav (NT), skrovellav (NT), spillkråka (NT, §4), talltita (NT, §4), tretåig hackspett (NT, §4), ullticka (NT), korallblylav (S), korallrot (S, §8), skinnlav (S), stuplav (S), kungsfågel (§4) och fläcknycklar (§8).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7870"/>
            <wp:docPr id="1" name="Picture 1"/>
            <wp:cNvGraphicFramePr>
              <a:graphicFrameLocks noChangeAspect="1"/>
            </wp:cNvGraphicFramePr>
            <a:graphic>
              <a:graphicData uri="http://schemas.openxmlformats.org/drawingml/2006/picture">
                <pic:pic>
                  <pic:nvPicPr>
                    <pic:cNvPr id="0" name="A 32897-2023 karta.png"/>
                    <pic:cNvPicPr/>
                  </pic:nvPicPr>
                  <pic:blipFill>
                    <a:blip r:embed="rId16"/>
                    <a:stretch>
                      <a:fillRect/>
                    </a:stretch>
                  </pic:blipFill>
                  <pic:spPr>
                    <a:xfrm>
                      <a:off x="0" y="0"/>
                      <a:ext cx="5486400" cy="5637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6940206, E 492787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Grynig filtlav (NT)</w:t>
      </w:r>
      <w:r>
        <w:t xml:space="preserve"> tillhör en grupp fuktighetskrävande, storväxta bladlavar där också bl.a. lunglav (NT) ingår. Den växer framför allt på gamla mossiga stammar av lövträd, särskilt ädellövträd samt asp och sälg, i kulturmarker, lövskogar, halvöppna och lövrika barrblandskogar i områden med hög luftfuktighet. Arten indikerar långvarig förekomst av gamla lövträd och ett mikroklimat med konstant hög och jämn luftfuktighet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doftticka (VU, §8), knärot (VU, §8), järpe (NT, §4), spillkråka (NT, §4), talltita (NT, §4), tretåig hackspett (NT, §4), korallrot (S, §8), kungsfågel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1.66 ha med buffertzonerna och får av detta skäl inte avverkas.</w:t>
      </w:r>
    </w:p>
    <w:p>
      <w:pPr>
        <w:pStyle w:val="Caption"/>
      </w:pPr>
      <w:r>
        <w:drawing>
          <wp:inline xmlns:a="http://schemas.openxmlformats.org/drawingml/2006/main" xmlns:pic="http://schemas.openxmlformats.org/drawingml/2006/picture">
            <wp:extent cx="5486400" cy="7290149"/>
            <wp:docPr id="2" name="Picture 2"/>
            <wp:cNvGraphicFramePr>
              <a:graphicFrameLocks noChangeAspect="1"/>
            </wp:cNvGraphicFramePr>
            <a:graphic>
              <a:graphicData uri="http://schemas.openxmlformats.org/drawingml/2006/picture">
                <pic:pic>
                  <pic:nvPicPr>
                    <pic:cNvPr id="0" name="A 32897-2023 karta knärot.png"/>
                    <pic:cNvPicPr/>
                  </pic:nvPicPr>
                  <pic:blipFill>
                    <a:blip r:embed="rId17"/>
                    <a:stretch>
                      <a:fillRect/>
                    </a:stretch>
                  </pic:blipFill>
                  <pic:spPr>
                    <a:xfrm>
                      <a:off x="0" y="0"/>
                      <a:ext cx="5486400" cy="729014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6940206, E 492787 i SWEREF 99 TM.</w:t>
      </w:r>
    </w:p>
    <w:p>
      <w:pPr>
        <w:pStyle w:val="Caption"/>
      </w:pP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19 naturvårdsarter varav 13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