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55004-2023 i Ånge kommun</w:t>
      </w:r>
    </w:p>
    <w:p>
      <w:r>
        <w:t>Detta dokument behandlar höga naturvärden i avverkningsanmälan A 55004-2023 i Ånge kommun. Denna avverkningsanmälan inkom 2023-11-06 00:00:00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storgröe (NT), kransrams (S), spädstarr (S), tvåblad (S, §8)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55004-2023 karta.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6943893, E 557815 i SWEREF 99 TM.</w:t>
      </w:r>
    </w:p>
    <w:p>
      <w:r>
        <w:rPr>
          <w:b/>
        </w:rPr>
        <w:t xml:space="preserve">Storgröe (NT) </w:t>
      </w:r>
      <w:r>
        <w:t>växer helst i eller vid källor, i bäckraviner, i frodiga skogssluttningar eller sumpskog. Rörligt, gärna något kalkpåverkat, ytligt grundvatten är en förutsättning. Det är främst förändringar av hydrologiska förhållanden genom dikning, körning med skogsfordon eller avverkning som hotar arten. Växtplatserna bör undantas från normal skogsproduktion och kalavverkning är direkt olämpligt (SLU Artdatabanken, 2024).</w:t>
      </w:r>
    </w:p>
    <w:p>
      <w:pPr>
        <w:pStyle w:val="Heading1"/>
      </w:pPr>
      <w:r>
        <w:t>Fridlysta arter</w:t>
      </w:r>
    </w:p>
    <w:p>
      <w:r>
        <w:t>Följande fridlysta arter har sina livsmiljöer och växtplatser i den avverkningsanmälda skogen: tvåblad (S, §8)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