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64523-2023 i Ånge kommun</w:t>
      </w:r>
    </w:p>
    <w:p>
      <w:r>
        <w:t>Detta dokument behandlar höga naturvärden i avverkningsanmälan A 64523-2023 i Ånge kommun. Denna avverkningsanmälan inkom 2023-12-21 00:00:00 och omfattar 62,6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doftticka (VU, §8), gräddporing (VU), knärot (VU, §8), rynkskinn (VU), dvärgbägarlav (NT), garnlav (NT), kolflarnlav (NT), lunglav (NT), mörk kolflarnlav (NT), rosenticka (NT), skrovellav (NT), tretåig hackspett (NT, §4), ullticka (NT), vedflamlav (NT), vedskivlav (NT), vitplätt (NT), blodticka (S), dropptaggsvamp (S), grönpyrola (S), korallblylav (S), luddlav (S), plattlummer (S, §9), skinnlav (S), vedticka (S) och nattviol (§8).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15770"/>
            <wp:docPr id="1" name="Picture 1"/>
            <wp:cNvGraphicFramePr>
              <a:graphicFrameLocks noChangeAspect="1"/>
            </wp:cNvGraphicFramePr>
            <a:graphic>
              <a:graphicData uri="http://schemas.openxmlformats.org/drawingml/2006/picture">
                <pic:pic>
                  <pic:nvPicPr>
                    <pic:cNvPr id="0" name="A 64523-2023 karta.png"/>
                    <pic:cNvPicPr/>
                  </pic:nvPicPr>
                  <pic:blipFill>
                    <a:blip r:embed="rId16"/>
                    <a:stretch>
                      <a:fillRect/>
                    </a:stretch>
                  </pic:blipFill>
                  <pic:spPr>
                    <a:xfrm>
                      <a:off x="0" y="0"/>
                      <a:ext cx="5486400" cy="76157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6928805, E 533749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Vitplätt (NT)</w:t>
      </w:r>
      <w:r>
        <w:t xml:space="preserve"> är en nedbrytare av död, hård och torr tallved och orsakar brunröta. Den förekommer mest i äldre, naturskogsliknande tallskog eller blandskog med äldre tall. Arten hotas av avverkning av gammal, senvuxen tall. I södra Sverige råder brist på lämpliga habitat och arten kan inte längre sprida sig utanför sina få kända växtplatser. Lokaler med gammal tall bör undantas från skogsbruk, i synnerhet i södra Sverige (SLU Artdatabanken, 2024).</w:t>
      </w:r>
    </w:p>
    <w:p>
      <w:pPr>
        <w:pStyle w:val="Heading1"/>
      </w:pPr>
      <w:r>
        <w:t>Fridlysta arter</w:t>
      </w:r>
    </w:p>
    <w:p>
      <w:r>
        <w:t>Följande fridlysta arter har sina livsmiljöer och växtplatser i den avverkningsanmälda skogen: doftticka (VU, §8), knärot (VU, §8), tretåig hackspett (NT, §4), plattlummer (S, §9) och nattviol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28 fyndplatser för knärot registrerade på Artportalen. Figur 2 visar gränserna för buffertzoner på 50 m, som behöver lämnas kring fyndplatserna för att knärotslokalerna inte ska försvinna vid en avverkning. Av det avverkningsanmälda området överlappar 4.40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64523-2023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6928805, E 533749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24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16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