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30474-2025 i Ånge kommun</w:t>
      </w:r>
    </w:p>
    <w:p>
      <w:r>
        <w:t>Detta dokument behandlar höga naturvärden i avverkningsanmälan A 30474-2025 i Ånge kommun. Denna avverkningsanmälan inkom 2025-06-20 08:15:48 och omfattar 15,2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10 naturvårdsarter hittats: liten aspgelélav (VU), gammelgransskål (NT), garnlav (NT), lunglav (NT), skrovellav (NT), violettgrå tagellav (NT), bårdlav (S), korallblylav (S), stuplav (S)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7372"/>
            <wp:docPr id="1" name="Picture 1"/>
            <wp:cNvGraphicFramePr>
              <a:graphicFrameLocks noChangeAspect="1"/>
            </wp:cNvGraphicFramePr>
            <a:graphic>
              <a:graphicData uri="http://schemas.openxmlformats.org/drawingml/2006/picture">
                <pic:pic>
                  <pic:nvPicPr>
                    <pic:cNvPr id="0" name="A 30474-2025 karta.png"/>
                    <pic:cNvPicPr/>
                  </pic:nvPicPr>
                  <pic:blipFill>
                    <a:blip r:embed="rId16"/>
                    <a:stretch>
                      <a:fillRect/>
                    </a:stretch>
                  </pic:blipFill>
                  <pic:spPr>
                    <a:xfrm>
                      <a:off x="0" y="0"/>
                      <a:ext cx="5486400" cy="4127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6917342, E 552226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aspgelélav (VU)</w:t>
      </w:r>
      <w:r>
        <w:t>, rödlistad som sårbar, växer på asp i halvöppna boreala blandskogar med hög och jämn luftfuktighet. Den omfattas av åtgärdsprogram (ÅGP) för hotade arter på asp i Norrland och är placerad i toppen av Skogsstyrelsens värdepyramid för bedömning av skog med höga naturvärden. Arten har ett mycket högt skyddsvärde då en mycket stor andel (mer än 90 %) av samtliga kända lokaler i världen finns i Sverige. Samtliga lokaler måste skyddas och inslaget av asp i skogsmark måste öka på lång sikt (Naturvårdsverket, 2010; Nitare &amp; Skogsstyrelsen, 2019;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revlummer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