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44245-2021 i Ånge kommun</w:t>
      </w:r>
    </w:p>
    <w:p>
      <w:r>
        <w:t>Detta dokument behandlar höga naturvärden i avverkningsanmälan A 44245-2021 i Ånge kommun. Denna avverkningsanmälan inkom 2021-08-26 00:00:00 och omfattar 27,4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27 naturvårdsarter hittats: fläckporing (VU), gräddporing (VU), knärot (VU, §8), dvärgbägarlav (NT), garnlav (NT), granticka (NT), järpe (NT, §4), kolflarnlav (NT), lunglav (NT), mörk kolflarnlav (NT), nordtagging (NT), reliktbock (NT), skogshare (NT), spillkråka (NT, §4), talltita (NT, §4), tretåig hackspett (NT, §4), ullticka (NT), vedflamlav (NT), vedskivlav (NT), violmussling (NT), dropptaggsvamp (S), norrlandslav (S), nästlav (S), skinnlav (S), vedticka (S), tjäder (§4) och fläcknycklar (§8).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799059"/>
            <wp:docPr id="1" name="Picture 1"/>
            <wp:cNvGraphicFramePr>
              <a:graphicFrameLocks noChangeAspect="1"/>
            </wp:cNvGraphicFramePr>
            <a:graphic>
              <a:graphicData uri="http://schemas.openxmlformats.org/drawingml/2006/picture">
                <pic:pic>
                  <pic:nvPicPr>
                    <pic:cNvPr id="0" name="A 44245-2021 karta.png"/>
                    <pic:cNvPicPr/>
                  </pic:nvPicPr>
                  <pic:blipFill>
                    <a:blip r:embed="rId16"/>
                    <a:stretch>
                      <a:fillRect/>
                    </a:stretch>
                  </pic:blipFill>
                  <pic:spPr>
                    <a:xfrm>
                      <a:off x="0" y="0"/>
                      <a:ext cx="5486400" cy="679905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6926559, E 496258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Reliktbock (NT)</w:t>
      </w:r>
      <w:r>
        <w:t xml:space="preserve"> är en skalbagge vars larvutveckling sker i tjock, solexponerad skorpbark på gamla, levande tallar. Ofta i träd som under längre tid stått fritt och öppet, t.ex. i kantzoner i odlingslandskap, längs stränder och åsar, men också i gles, gammal tallskog på mager mark. Arten är brandgynnad genom att omgivande småträd och buskar försvinner vid lågintensiva bränder samtidigt som gamla tallar överlever och förblir solexponerade. Minskningstakten för den svenska populationen bedöms vara nära gränsvärdet för Sårbar (VU) och i den europeiska rödlistan är reliktbock rödlistad som Sårbar (VU) vilket innebär att Sverige har ett internationellt ansvar för arten. Gamla tallskogar bör få ett långsiktigt skydd, och inte slutavverkas (SLU Artdatabanken, 2024; IUCN, 2016).</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tjäder (§4)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9361389"/>
            <wp:docPr id="2" name="Picture 2"/>
            <wp:cNvGraphicFramePr>
              <a:graphicFrameLocks noChangeAspect="1"/>
            </wp:cNvGraphicFramePr>
            <a:graphic>
              <a:graphicData uri="http://schemas.openxmlformats.org/drawingml/2006/picture">
                <pic:pic>
                  <pic:nvPicPr>
                    <pic:cNvPr id="0" name="A 44245-2021 karta knärot.png"/>
                    <pic:cNvPicPr/>
                  </pic:nvPicPr>
                  <pic:blipFill>
                    <a:blip r:embed="rId17"/>
                    <a:stretch>
                      <a:fillRect/>
                    </a:stretch>
                  </pic:blipFill>
                  <pic:spPr>
                    <a:xfrm>
                      <a:off x="0" y="0"/>
                      <a:ext cx="5486400" cy="936138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6926559, E 496258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