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1065-2025 i Ånge kommun</w:t>
      </w:r>
    </w:p>
    <w:p>
      <w:r>
        <w:t>Denna tillsynsbegäran behandlar höga naturvärden i samrådsanmälan S 1065-2025 i Ånge kommun som inkom 2025-04-02 och omfattar 9,1 ha.</w:t>
      </w:r>
    </w:p>
    <w:p>
      <w:pPr>
        <w:pStyle w:val="Caption"/>
      </w:pPr>
      <w:r>
        <w:drawing>
          <wp:inline xmlns:a="http://schemas.openxmlformats.org/drawingml/2006/main" xmlns:pic="http://schemas.openxmlformats.org/drawingml/2006/picture">
            <wp:extent cx="5168117" cy="5724000"/>
            <wp:docPr id="1" name="Picture 1"/>
            <wp:cNvGraphicFramePr>
              <a:graphicFrameLocks noChangeAspect="1"/>
            </wp:cNvGraphicFramePr>
            <a:graphic>
              <a:graphicData uri="http://schemas.openxmlformats.org/drawingml/2006/picture">
                <pic:pic>
                  <pic:nvPicPr>
                    <pic:cNvPr id="0" name="S 1065-2025 karta.png"/>
                    <pic:cNvPicPr/>
                  </pic:nvPicPr>
                  <pic:blipFill>
                    <a:blip r:embed="rId16"/>
                    <a:stretch>
                      <a:fillRect/>
                    </a:stretch>
                  </pic:blipFill>
                  <pic:spPr>
                    <a:xfrm>
                      <a:off x="0" y="0"/>
                      <a:ext cx="5168117" cy="5724000"/>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6937045, E 521520 i SWEREF 99 TM.</w:t>
      </w:r>
    </w:p>
    <w:p>
      <w:r>
        <w:t>I och inom 21 meter från samrådsanmälan finns fynd av 18 naturvårdsarter, varav 12 är rödlistade, 4 är fridlysta, 10 är typiska (T) och 1 är signalart (S): urskogsporing (EN), garnlav (VU, T), knärot (VU, T, §8), blanksvart spiklav (NT), blågrå svartspik (NT), dropptaggsvamp (NT, T), dvärgbägarlav (NT, T), kolflarnlav (NT, T), mörk kolflarnlav (NT), nordtagging (NT), tallticka (NT, T), vaddporing (NT), spindelblomster (S, T, §8), kransmossa (T), ormbär (T), torta (T), nattviol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9 fyndplatser för knärot registrerade på Artportalen. Figur 2 visar gränserna för buffertzoner på 50 m, som behöver lämnas kring fyndplatserna för att knärotslokalerna inte ska försvinna vid en avverkning. Av det samrådsanmälda området överlappar 3.39 ha med buffertzonerna och får av detta skäl inte avverkas.</w:t>
      </w:r>
    </w:p>
    <w:p>
      <w:pPr>
        <w:pStyle w:val="Caption"/>
      </w:pPr>
      <w:r>
        <w:drawing>
          <wp:inline xmlns:a="http://schemas.openxmlformats.org/drawingml/2006/main" xmlns:pic="http://schemas.openxmlformats.org/drawingml/2006/picture">
            <wp:extent cx="5486400" cy="5829536"/>
            <wp:docPr id="2" name="Picture 2"/>
            <wp:cNvGraphicFramePr>
              <a:graphicFrameLocks noChangeAspect="1"/>
            </wp:cNvGraphicFramePr>
            <a:graphic>
              <a:graphicData uri="http://schemas.openxmlformats.org/drawingml/2006/picture">
                <pic:pic>
                  <pic:nvPicPr>
                    <pic:cNvPr id="0" name="S 1065-2025 karta knärot.png"/>
                    <pic:cNvPicPr/>
                  </pic:nvPicPr>
                  <pic:blipFill>
                    <a:blip r:embed="rId17"/>
                    <a:stretch>
                      <a:fillRect/>
                    </a:stretch>
                  </pic:blipFill>
                  <pic:spPr>
                    <a:xfrm>
                      <a:off x="0" y="0"/>
                      <a:ext cx="5486400" cy="5829536"/>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6937045, E 521520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Ormbär</w:t>
      </w:r>
      <w:r>
        <w:t xml:space="preserve"> är typisk art för </w:t>
      </w:r>
      <w:r>
        <w:rPr>
          <w:i/>
        </w:rPr>
        <w:t xml:space="preserve">9050 Näringsrik granskog </w:t>
      </w:r>
      <w:r>
        <w:t>(SLU Artdatabanken, 2025).</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knärot (VU, T, §8), dropptaggsvamp (NT, T), dvärgbägarlav (NT, T), kolflarnlav (NT, T), tallticka (NT, T), spindelblomster (S, T, §8), kransmossa (T), ormbär (T) och torta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