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och bedöms vara nära gränsvärdet för Sårbar (VU) (A2bc). Spillkråka är en nyckelart i skogliga miljöer vars övergivna bohål utnyttjas av flera andra hålhäckande fågelarter och fladdermöss. Den behöver grova träd, främst tall, asp och bok som boträd.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2025;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 Spillkråka är en nyckelart i skogliga miljöer vars övergivna bohål utnyttjas av flera andra hålhäckande fågelarter och fladdermöss (SLU Artdatabanken, 2023; Skogsstyrelsen 2016).</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2023.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