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64520-2023 i Ånge kommun</w:t>
      </w:r>
    </w:p>
    <w:p>
      <w:r>
        <w:t>Denna tillsynsbegäran behandlar höga naturvärden i avverkningsanmälan A 64520-2023 i Ånge kommun som inkom 2023-12-21 och omfattar 68,5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6928056, E 531263 i SWEREF 99 TM.</w:t>
      </w:r>
    </w:p>
    <w:p>
      <w:r>
        <w:t>I och inom 15 meter från avverkningsanmälan finns fynd av 14 naturvårdsarter, varav 13 är rödlistade, 1 är fridlyst, 9 är typiska (T) och 1 är signalart (S): kromporing (EN), fläckporing (VU, T), gräddporing (VU, T), knärot (VU, T, §8), skrovlig taggsvamp (VU), dvärgbägarlav (NT, T), lunglav (NT, T), mörk kolflarnlav (NT), nordtagging (NT), rosenticka (NT, T), rynkskinn (NT, T), vedflamlav (NT), vedtrappmossa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dvärgbägarlav (NT, T), lunglav (NT, T), rosenticka (NT, T), rynkskinn (NT, T), vedtrappmossa (NT, T) och blodticka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