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38664-2025 i Ånge kommun</w:t>
      </w:r>
    </w:p>
    <w:p>
      <w:r>
        <w:t>Detta dokument behandlar höga naturvärden i avverkningsanmälan A 38664-2025 i Ånge kommun. Denna avverkningsanmälan inkom 2025-08-15 14:45:39 och omfattar 6,4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kolflarnlav (NT) och mörk kolflarnlav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24673"/>
            <wp:docPr id="1" name="Picture 1"/>
            <wp:cNvGraphicFramePr>
              <a:graphicFrameLocks noChangeAspect="1"/>
            </wp:cNvGraphicFramePr>
            <a:graphic>
              <a:graphicData uri="http://schemas.openxmlformats.org/drawingml/2006/picture">
                <pic:pic>
                  <pic:nvPicPr>
                    <pic:cNvPr id="0" name="A 38664-2025 karta.png"/>
                    <pic:cNvPicPr/>
                  </pic:nvPicPr>
                  <pic:blipFill>
                    <a:blip r:embed="rId16"/>
                    <a:stretch>
                      <a:fillRect/>
                    </a:stretch>
                  </pic:blipFill>
                  <pic:spPr>
                    <a:xfrm>
                      <a:off x="0" y="0"/>
                      <a:ext cx="5486400" cy="42246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6914414, E 525913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1.92 ha med buffertzonerna och får av detta skäl inte avverkas.</w:t>
      </w:r>
    </w:p>
    <w:p>
      <w:pPr>
        <w:pStyle w:val="Caption"/>
      </w:pPr>
      <w:r>
        <w:drawing>
          <wp:inline xmlns:a="http://schemas.openxmlformats.org/drawingml/2006/main" xmlns:pic="http://schemas.openxmlformats.org/drawingml/2006/picture">
            <wp:extent cx="5486400" cy="4945640"/>
            <wp:docPr id="2" name="Picture 2"/>
            <wp:cNvGraphicFramePr>
              <a:graphicFrameLocks noChangeAspect="1"/>
            </wp:cNvGraphicFramePr>
            <a:graphic>
              <a:graphicData uri="http://schemas.openxmlformats.org/drawingml/2006/picture">
                <pic:pic>
                  <pic:nvPicPr>
                    <pic:cNvPr id="0" name="A 38664-2025 karta knärot.png"/>
                    <pic:cNvPicPr/>
                  </pic:nvPicPr>
                  <pic:blipFill>
                    <a:blip r:embed="rId17"/>
                    <a:stretch>
                      <a:fillRect/>
                    </a:stretch>
                  </pic:blipFill>
                  <pic:spPr>
                    <a:xfrm>
                      <a:off x="0" y="0"/>
                      <a:ext cx="5486400" cy="494564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6914414, E 525913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