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1080-2025 i Ånge kommun</w:t>
      </w:r>
    </w:p>
    <w:p>
      <w:r>
        <w:t>Denna tillsynsbegäran behandlar höga naturvärden i samrådsanmälan S 1080-2025 i Ånge kommun som inkom 2025-04-02 och omfattar 5,1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S 1080-2025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6936980, E 522020 i SWEREF 99 TM.</w:t>
      </w:r>
    </w:p>
    <w:p>
      <w:r>
        <w:t>I och inom 24 meter från samrådsanmälan finns fynd av 31 naturvårdsarter, varav 16 är rödlistade, 6 är fridlysta, 23 är typiska (T) och 7 är signalarter (S): djupsvart brunbagge (EN), karelsk barkfluga (EN), garnlav (VU, T), honungsticka (VU), knärot (VU, T, §8), berggräsfjäril (NT), dropptaggsvamp (NT, T), dvärgbägarlav (NT, T), kolflarnlav (NT, T), lunglav (NT, T), rosenticka (NT, T), tretåig hackspett (NT, T, §4), ullticka (NT, T), veckticka (NT, T), vedskivlav (NT, T), vedtrappmossa (NT, T), grönpyrola (S, T), gullgröppa (S), jättesvampmal (S), korallblylav (S, T), norrlandslav (S, T), spindelblomster (S, T, §8), stuplav (S, T), ekbräken (T), kattfot (T), kärrfibbla (T), linnea (T), timmerticka (T), tjäder (T,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22 fyndplatser för knärot registrerade på Artportalen. Figur 2 visar gränserna för buffertzoner på 50 m, som behöver lämnas kring fyndplatserna för att knärotslokalerna inte ska försvinna vid en avverkning. Av det samrådsanmälda området överlappar 4.34 ha med buffertzonerna och får av detta skäl inte avverkas.</w:t>
      </w:r>
    </w:p>
    <w:p>
      <w:pPr>
        <w:pStyle w:val="Caption"/>
      </w:pPr>
      <w:r>
        <w:drawing>
          <wp:inline xmlns:a="http://schemas.openxmlformats.org/drawingml/2006/main" xmlns:pic="http://schemas.openxmlformats.org/drawingml/2006/picture">
            <wp:extent cx="5486400" cy="5107442"/>
            <wp:docPr id="2" name="Picture 2"/>
            <wp:cNvGraphicFramePr>
              <a:graphicFrameLocks noChangeAspect="1"/>
            </wp:cNvGraphicFramePr>
            <a:graphic>
              <a:graphicData uri="http://schemas.openxmlformats.org/drawingml/2006/picture">
                <pic:pic>
                  <pic:nvPicPr>
                    <pic:cNvPr id="0" name="S 1080-2025 karta knärot.png"/>
                    <pic:cNvPicPr/>
                  </pic:nvPicPr>
                  <pic:blipFill>
                    <a:blip r:embed="rId17"/>
                    <a:stretch>
                      <a:fillRect/>
                    </a:stretch>
                  </pic:blipFill>
                  <pic:spPr>
                    <a:xfrm>
                      <a:off x="0" y="0"/>
                      <a:ext cx="5486400" cy="510744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6936980, E 522020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Ekbräken </w:t>
      </w:r>
      <w:r>
        <w:t xml:space="preserve">är typisk art för </w:t>
      </w:r>
      <w:r>
        <w:rPr>
          <w:i/>
        </w:rPr>
        <w:t>9050 Näringsrik granskog</w:t>
      </w:r>
      <w:r>
        <w:t xml:space="preserve"> (SLU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knärot (VU, T, §8), dropptaggsvamp (NT, T), dvärgbägarlav (NT, T), kolflarnlav (NT, T), lunglav (NT, T), rosenticka (NT, T), tretåig hackspett (NT, T, §4), ullticka (NT, T), veckticka (NT, T), vedskivlav (NT, T), vedtrappmossa (NT, T), grönpyrola (S, T), korallblylav (S, T), norrlandslav (S, T), spindelblomster (S, T, §8), stuplav (S, T), ekbräken (T), kattfot (T), kärrfibbla (T), linnea (T), timmerticka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