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48850-2021 i Ånge kommun</w:t>
      </w:r>
    </w:p>
    <w:p>
      <w:r>
        <w:t>Detta dokument behandlar höga naturvärden i avverkningsanmälan A 48850-2021 i Ånge kommun. Denna avverkningsanmälan inkom 2021-09-13 00:00:00 och omfattar 6,2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16 naturvårdsarter hittats: gräddporing (VU), blanksvart spiklav (NT), dvärgbägarlav (NT), garnlav (NT), kolflarnlav (NT), kortskaftad ärgspik (NT), mörk kolflarnlav (NT), nordtagging (NT), reliktbock (NT), spillkråka (NT, §4), vedflamlav (NT), vedskivlav (NT), vedtrappmossa (NT), vitplätt (NT), dropptaggsvamp (S) och nästlav (S). Av dessa är 14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24769"/>
            <wp:docPr id="1" name="Picture 1"/>
            <wp:cNvGraphicFramePr>
              <a:graphicFrameLocks noChangeAspect="1"/>
            </wp:cNvGraphicFramePr>
            <a:graphic>
              <a:graphicData uri="http://schemas.openxmlformats.org/drawingml/2006/picture">
                <pic:pic>
                  <pic:nvPicPr>
                    <pic:cNvPr id="0" name="A 48850-2021 karta.png"/>
                    <pic:cNvPicPr/>
                  </pic:nvPicPr>
                  <pic:blipFill>
                    <a:blip r:embed="rId16"/>
                    <a:stretch>
                      <a:fillRect/>
                    </a:stretch>
                  </pic:blipFill>
                  <pic:spPr>
                    <a:xfrm>
                      <a:off x="0" y="0"/>
                      <a:ext cx="5486400" cy="47247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6945947, E 556336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Reliktbock är typisk art för </w:t>
      </w:r>
      <w:r>
        <w:rPr>
          <w:i/>
        </w:rPr>
        <w:t>9010 Taiga</w:t>
      </w:r>
      <w:r>
        <w:t xml:space="preserve"> och</w:t>
      </w:r>
      <w:r>
        <w:rPr>
          <w:i/>
        </w:rPr>
        <w:t xml:space="preserve"> 9060 Åsbarrskog</w:t>
      </w:r>
      <w:r>
        <w:t xml:space="preserve"> (SLU Artdatabanken, 2024; IUCN, 2016).</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och bedöms vara nära gränsvärdet för Sårbar (VU) (A2bc). Spillkråka är en nyckelart i skogliga miljöer vars övergivna bohål utnyttjas av flera andra hålhäckande fågelarter och fladdermöss. Den behöver grova träd, främst tall, asp och bok som boträd.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2025;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16 naturvårdsarter varav 14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 Spillkråka är en nyckelart i skogliga miljöer vars övergivna bohål utnyttjas av flera andra hålhäckande fågelarter och fladdermöss (SLU Artdatabanken, 2023; Skogsstyrelsen 2016).</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2023.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