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40965-2021 i Ånge kommun</w:t>
      </w:r>
    </w:p>
    <w:p>
      <w:r>
        <w:t>Denna tillsynsbegäran behandlar höga naturvärden i avverkningsanmälan A 40965-2021 i Ånge kommun som inkom 2021-08-13 och omfattar 5,4 ha.</w:t>
      </w:r>
    </w:p>
    <w:p>
      <w:pPr>
        <w:pStyle w:val="Caption"/>
      </w:pPr>
      <w:r>
        <w:drawing>
          <wp:inline xmlns:a="http://schemas.openxmlformats.org/drawingml/2006/main" xmlns:pic="http://schemas.openxmlformats.org/drawingml/2006/picture">
            <wp:extent cx="5486400" cy="3925321"/>
            <wp:docPr id="1" name="Picture 1"/>
            <wp:cNvGraphicFramePr>
              <a:graphicFrameLocks noChangeAspect="1"/>
            </wp:cNvGraphicFramePr>
            <a:graphic>
              <a:graphicData uri="http://schemas.openxmlformats.org/drawingml/2006/picture">
                <pic:pic>
                  <pic:nvPicPr>
                    <pic:cNvPr id="0" name="A 40965-2021 karta.png"/>
                    <pic:cNvPicPr/>
                  </pic:nvPicPr>
                  <pic:blipFill>
                    <a:blip r:embed="rId16"/>
                    <a:stretch>
                      <a:fillRect/>
                    </a:stretch>
                  </pic:blipFill>
                  <pic:spPr>
                    <a:xfrm>
                      <a:off x="0" y="0"/>
                      <a:ext cx="5486400" cy="3925321"/>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6926279, E 507529 i SWEREF 99 TM.</w:t>
      </w:r>
    </w:p>
    <w:p>
      <w:r>
        <w:t>I och inom 19 meter från avverkningsanmälan finns fynd av 8 naturvårdsarter, varav 2 är rödlistade, 3 är fridlysta, 4 är typiska (T) och 1 är signalart (S): garnlav (VU, T), skogsfru (NT, §8), skogsbräsma (S), kransmossa (T), kärrbräken (T), linnea (T),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Skogsfru (NT, §8)</w:t>
      </w:r>
      <w:r>
        <w:t xml:space="preserve"> växer i fuktig, skuggig skog med rörligt markvatten och god förnaproduktion. Den är placerad högst upp i Skogsstyrelsens värdepyramid för bedömning av skog med höga naturvärden och fridlyst enligt 8 § artskyddsförordningen. Slutavverkning utan hänsyn, markberedning och skyddsdikning utgör de allvarligaste hoten mot arten (SLU Artdatabanken, 2024).</w:t>
      </w:r>
    </w:p>
    <w:p>
      <w:r>
        <w:rPr>
          <w:b/>
        </w:rPr>
        <w:t>Kransmossa</w:t>
      </w:r>
      <w:r>
        <w:t xml:space="preserve"> är typisk art för </w:t>
      </w:r>
      <w:r>
        <w:rPr>
          <w:i/>
        </w:rPr>
        <w:t xml:space="preserve">9050 Näringsrik granskog </w:t>
      </w:r>
      <w:r>
        <w:t xml:space="preserve">och </w:t>
      </w:r>
      <w:r>
        <w:rPr>
          <w:i/>
        </w:rPr>
        <w:t xml:space="preserve">6170 Alpina kalkgräsmarker </w:t>
      </w:r>
      <w:r>
        <w:t>(SLU Artdatabanken, 2025).</w:t>
      </w:r>
    </w:p>
    <w:p>
      <w:r>
        <w:rPr>
          <w:b/>
        </w:rPr>
        <w:t xml:space="preserve">Kärrbräken </w:t>
      </w:r>
      <w:r>
        <w:t xml:space="preserve">är typisk art för </w:t>
      </w:r>
      <w:r>
        <w:rPr>
          <w:i/>
        </w:rPr>
        <w:t xml:space="preserve">9080 Lövsumpskog </w:t>
      </w:r>
      <w:r>
        <w:t>(SLU Artdatabanken, 2025).</w:t>
      </w:r>
    </w:p>
    <w:p>
      <w:r>
        <w:rPr>
          <w:b/>
        </w:rPr>
        <w:t xml:space="preserve">Linnea </w:t>
      </w:r>
      <w:r>
        <w:t xml:space="preserve">är typisk art för </w:t>
      </w:r>
      <w:r>
        <w:rPr>
          <w:i/>
        </w:rPr>
        <w:t>9010 Taiga</w:t>
      </w:r>
      <w:r>
        <w:t>. På linnea kan man hitta sporsäcksvampen linnealudd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