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39119-2024 i Ånge kommun</w:t>
      </w:r>
    </w:p>
    <w:p>
      <w:r>
        <w:t>Detta klagomål behandlar höga naturvärden i avverkningsanmälan A 39119-2024 i Ånge kommun som inkom 2024-09-13 och omfattar 8,0 ha.</w:t>
      </w:r>
    </w:p>
    <w:p>
      <w:pPr>
        <w:pStyle w:val="Caption"/>
      </w:pPr>
      <w:r>
        <w:drawing>
          <wp:inline xmlns:a="http://schemas.openxmlformats.org/drawingml/2006/main" xmlns:pic="http://schemas.openxmlformats.org/drawingml/2006/picture">
            <wp:extent cx="5246249" cy="5724000"/>
            <wp:docPr id="1" name="Picture 1"/>
            <wp:cNvGraphicFramePr>
              <a:graphicFrameLocks noChangeAspect="1"/>
            </wp:cNvGraphicFramePr>
            <a:graphic>
              <a:graphicData uri="http://schemas.openxmlformats.org/drawingml/2006/picture">
                <pic:pic>
                  <pic:nvPicPr>
                    <pic:cNvPr id="0" name="A 39119-2024 karta.png"/>
                    <pic:cNvPicPr/>
                  </pic:nvPicPr>
                  <pic:blipFill>
                    <a:blip r:embed="rId16"/>
                    <a:stretch>
                      <a:fillRect/>
                    </a:stretch>
                  </pic:blipFill>
                  <pic:spPr>
                    <a:xfrm>
                      <a:off x="0" y="0"/>
                      <a:ext cx="5246249"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6929708, E 571026 i SWEREF 99 TM.</w:t>
      </w:r>
    </w:p>
    <w:p>
      <w:r>
        <w:t>Inom 17 meter från avverkningsanmälan finns fynd av 4 naturvårdsarter, varav 3 är rödlistade, 1 är fridlyst, 3 är typiska (T) och 1 är signalart (S): mikroskapania (EN, §8), platt spretmossa (NT, T), vedtrappmossa (NT, T) och flagellkvastmossa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Mikroskapania (EN, §8)</w:t>
      </w:r>
      <w:r>
        <w:t xml:space="preserve"> omfattas av EU:s art- och habitatdirektiv där dess bevarandestatus är dålig med negativ trend. Arten är rödlistad som starkt hotad (EN) i den europeiska rödlistan, fridlyst enligt 8 § artskyddsförordningen och omfattas av ett åtgärdsprogram för hotade arter (ÅGP). Mikroskapania växer på död ved som regelbundet översvämmas av vatten, men oftast bara under en kort period av året. Den kan påträffas vid strömmande eller forsande sträckor av mindre till medelstora skogsbäckar samt vid lokar och glupar omgivna av skog, dvs. periodvis vattenfyllda svackor i skogen, främst där det finns rikligt med död ved. Alla skogsskötselåtgärder på eller i omedelbar närhet av växtplatserna utgör hot mot artens fortlevnad (IUCN, 2024; SLU Artdatabanken, 2024; Naturvårdsverket 2015).</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