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4130-2023 i Ånge kommun</w:t>
      </w:r>
    </w:p>
    <w:p>
      <w:r>
        <w:t>Detta klagomål behandlar höga naturvärden i avverkningsanmälan A 4130-2023 i Ånge kommun som inkom 2023-01-26 och omfattar 2,2 ha.</w:t>
      </w:r>
    </w:p>
    <w:p>
      <w:pPr>
        <w:pStyle w:val="Caption"/>
      </w:pPr>
      <w:r>
        <w:drawing>
          <wp:inline xmlns:a="http://schemas.openxmlformats.org/drawingml/2006/main" xmlns:pic="http://schemas.openxmlformats.org/drawingml/2006/picture">
            <wp:extent cx="5486400" cy="4194928"/>
            <wp:docPr id="1" name="Picture 1"/>
            <wp:cNvGraphicFramePr>
              <a:graphicFrameLocks noChangeAspect="1"/>
            </wp:cNvGraphicFramePr>
            <a:graphic>
              <a:graphicData uri="http://schemas.openxmlformats.org/drawingml/2006/picture">
                <pic:pic>
                  <pic:nvPicPr>
                    <pic:cNvPr id="0" name="A 4130-2023 karta.png"/>
                    <pic:cNvPicPr/>
                  </pic:nvPicPr>
                  <pic:blipFill>
                    <a:blip r:embed="rId16"/>
                    <a:stretch>
                      <a:fillRect/>
                    </a:stretch>
                  </pic:blipFill>
                  <pic:spPr>
                    <a:xfrm>
                      <a:off x="0" y="0"/>
                      <a:ext cx="5486400" cy="4194928"/>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6947253, E 546211 i SWEREF 99 TM.</w:t>
      </w:r>
    </w:p>
    <w:p>
      <w:r>
        <w:t>I och inom 15 meter från avverkningsanmälan finns fynd av 8 naturvårdsarter, varav 3 är rödlistade, 5 är fridlysta, 4 är typiska (T) och 3 är signalarter (S): knärot (VU, T, §8), höstlåsbräken (NT, §8), månlåsbräken (NT), grönkulla (S, T, §8), spetsvaxing (S), ängsfingersvamp (S), järpe (T, §4)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0.10 ha med buffertzonerna och får av detta skäl inte avverkas.</w:t>
      </w:r>
    </w:p>
    <w:p>
      <w:pPr>
        <w:pStyle w:val="Caption"/>
      </w:pPr>
      <w:r>
        <w:drawing>
          <wp:inline xmlns:a="http://schemas.openxmlformats.org/drawingml/2006/main" xmlns:pic="http://schemas.openxmlformats.org/drawingml/2006/picture">
            <wp:extent cx="5486400" cy="3955487"/>
            <wp:docPr id="2" name="Picture 2"/>
            <wp:cNvGraphicFramePr>
              <a:graphicFrameLocks noChangeAspect="1"/>
            </wp:cNvGraphicFramePr>
            <a:graphic>
              <a:graphicData uri="http://schemas.openxmlformats.org/drawingml/2006/picture">
                <pic:pic>
                  <pic:nvPicPr>
                    <pic:cNvPr id="0" name="A 4130-2023 karta knärot.png"/>
                    <pic:cNvPicPr/>
                  </pic:nvPicPr>
                  <pic:blipFill>
                    <a:blip r:embed="rId17"/>
                    <a:stretch>
                      <a:fillRect/>
                    </a:stretch>
                  </pic:blipFill>
                  <pic:spPr>
                    <a:xfrm>
                      <a:off x="0" y="0"/>
                      <a:ext cx="5486400" cy="395548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6947253, E 546211 i SWEREF 99 TM.</w:t>
      </w:r>
    </w:p>
    <w:p>
      <w:r>
        <w:rPr>
          <w:b/>
        </w:rPr>
        <w:t xml:space="preserve">Grönkulla (§8) </w:t>
      </w:r>
      <w:r>
        <w:t xml:space="preserve">är typisk art för </w:t>
      </w:r>
      <w:r>
        <w:rPr>
          <w:i/>
        </w:rPr>
        <w:t xml:space="preserve">9040 Fjällbjörkskog, 9070 Trädklädd betesmark, 6170 Alpina kalkgräsmarker, 6520 Höglänta slåtterängar </w:t>
      </w:r>
      <w:r>
        <w:t>och</w:t>
      </w:r>
      <w:r>
        <w:rPr>
          <w:i/>
        </w:rPr>
        <w:t xml:space="preserve"> 6210 Kalkgräsmarker </w:t>
      </w:r>
      <w:r>
        <w:t>(SLU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