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18112-2025 i Ånge kommun</w:t>
      </w:r>
    </w:p>
    <w:p>
      <w:r>
        <w:t>Detta klagomål behandlar höga naturvärden i avverkningsanmälan A 18112-2025 i Ånge kommun som inkom 2025-04-14 och omfattar 2,4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18112-2025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6939479, E 526748 i SWEREF 99 TM.</w:t>
      </w:r>
    </w:p>
    <w:p>
      <w:r>
        <w:t>I avverkningsanmälan finns fynd av 6 naturvårdsarter, varav 5 är rödlistade och 1 är signalart (S): blyspindling (EN), kopparspindling (VU), barrfagerspindling (NT), fjällig taggsvamp s.str. (NT), persiljespindling (NT) och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Blyspindling (EN) </w:t>
      </w:r>
      <w:r>
        <w:t>är en mycket sällsynt och starkt hotad art som bildar mykorrhiza med gran i kalkbarrskog. Huvudsakligen knuten till äldre skog på frisk till fuktig mark. 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 Arten är placerad i toppen på Skogsstyrelsens värdepyramid för bedömning av skog med höga naturvärden (SLU Artdatabanken, 2026;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