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584-2026 i Ånge kommun</w:t>
      </w:r>
    </w:p>
    <w:p>
      <w:r>
        <w:t>Denna tillsynsbegäran behandlar höga naturvärden i samrådsanmälan S 584-2026 i Ånge kommun som inkom 2026-03-02 och omfattar 2229,3 ha.</w:t>
      </w:r>
    </w:p>
    <w:p>
      <w:pPr>
        <w:pStyle w:val="Caption"/>
      </w:pPr>
      <w:r>
        <w:drawing>
          <wp:inline xmlns:a="http://schemas.openxmlformats.org/drawingml/2006/main" xmlns:pic="http://schemas.openxmlformats.org/drawingml/2006/picture">
            <wp:extent cx="5486400" cy="3452096"/>
            <wp:docPr id="1" name="Picture 1"/>
            <wp:cNvGraphicFramePr>
              <a:graphicFrameLocks noChangeAspect="1"/>
            </wp:cNvGraphicFramePr>
            <a:graphic>
              <a:graphicData uri="http://schemas.openxmlformats.org/drawingml/2006/picture">
                <pic:pic>
                  <pic:nvPicPr>
                    <pic:cNvPr id="0" name="S 584-2026 karta.png"/>
                    <pic:cNvPicPr/>
                  </pic:nvPicPr>
                  <pic:blipFill>
                    <a:blip r:embed="rId16"/>
                    <a:stretch>
                      <a:fillRect/>
                    </a:stretch>
                  </pic:blipFill>
                  <pic:spPr>
                    <a:xfrm>
                      <a:off x="0" y="0"/>
                      <a:ext cx="5486400" cy="3452096"/>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6925147, E 534507 i SWEREF 99 TM.</w:t>
      </w:r>
    </w:p>
    <w:p>
      <w:r>
        <w:t>I och inom 25 meter från samrådsanmälan finns fynd av 18 naturvårdsarter, varav 6 är rödlistade, 12 är fridlysta, 11 är typiska (T) och 5 är signalarter (S): garnlav (VU, T), knärot (VU, T, §8), dropptaggsvamp (NT, T), duvhök (NT, §4), lunglav (NT, T), talltita (NT, §4), bollvitmossa (S, T), plattlummer (S, T, §9), spindelblomster (S, T, §8), vedticka (S, T), ögonpyrola (S, T), mattlummer (T, §9), tjäder (T, §4), vanlig groda (§6), fläcknycklar (§8), grönvit nattviol (§8), nattviol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2 fyndplatser för knärot registrerade på Artportalen. Figur 2 visar gränserna för buffertzoner på 50 m, som behöver lämnas kring fyndplatserna för att knärotslokalerna inte ska försvinna vid en avverkning. Av det samrådsanmälda området överlappar 1.17 ha med buffertzonerna och får av detta skäl inte avverkas.</w:t>
      </w:r>
    </w:p>
    <w:p>
      <w:pPr>
        <w:pStyle w:val="Caption"/>
      </w:pPr>
      <w:r>
        <w:drawing>
          <wp:inline xmlns:a="http://schemas.openxmlformats.org/drawingml/2006/main" xmlns:pic="http://schemas.openxmlformats.org/drawingml/2006/picture">
            <wp:extent cx="5486400" cy="3203228"/>
            <wp:docPr id="2" name="Picture 2"/>
            <wp:cNvGraphicFramePr>
              <a:graphicFrameLocks noChangeAspect="1"/>
            </wp:cNvGraphicFramePr>
            <a:graphic>
              <a:graphicData uri="http://schemas.openxmlformats.org/drawingml/2006/picture">
                <pic:pic>
                  <pic:nvPicPr>
                    <pic:cNvPr id="0" name="S 584-2026 karta knärot.png"/>
                    <pic:cNvPicPr/>
                  </pic:nvPicPr>
                  <pic:blipFill>
                    <a:blip r:embed="rId17"/>
                    <a:stretch>
                      <a:fillRect/>
                    </a:stretch>
                  </pic:blipFill>
                  <pic:spPr>
                    <a:xfrm>
                      <a:off x="0" y="0"/>
                      <a:ext cx="5486400" cy="3203228"/>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6925147, E 534507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Mattlummer (§9)</w:t>
      </w:r>
      <w:r>
        <w:t xml:space="preserve"> är typisk art för </w:t>
      </w:r>
      <w:r>
        <w:rPr>
          <w:i/>
        </w:rPr>
        <w:t xml:space="preserve">9010 Taiga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knärot (VU, T, §8), dropptaggsvamp (NT, T), lunglav (NT, T), bollvitmossa (S, T), plattlummer (S, T, §9), spindelblomster (S, T, §8), vedticka (S, T), ögonpyrola (S, T), mattlummer (T, §9)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