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55823-2024 i Ånge kommun</w:t>
      </w:r>
    </w:p>
    <w:p>
      <w:r>
        <w:t>Detta dokument behandlar höga naturvärden i avverkningsanmälan A 55823-2024 i Ånge kommun. Denna avverkningsanmälan inkom 2024-11-27 00:00:00 och omfattar 9,6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39 naturvårdsarter hittats: fläckporing (VU), goliatmusseron (VU), gräddporing (VU), knärot (VU, §8), lammticka (VU), smalfotad taggsvamp (VU), tajgataggsvamp (VU), blå taggsvamp (NT), druvfingersvampar (NT), dvärgbägarlav (NT), garnlav (NT), gränsticka (NT), kolflarnlav (NT), kortskaftad ärgspik (NT), lunglav (NT), mörk kolflarnlav (NT), nordtagging (NT), oljetagging (NT), orange taggsvamp (NT), skrovlig taggsvamp (NT), svart taggsvamp agg. (NT), svartvit taggsvamp (NT), talltita (NT, §4), tretåig hackspett (NT, §4), vaddporing (NT), vedflamlav (NT), vedskivlav (NT), vitplätt (NT), äggvaxskivling (NT), barrfagerspindling (S), dropptaggsvamp (S), guldkremla (S), gullgröppa (S), korallblylav (S), norrlandslav (S), skarp dropptaggsvamp (S), stor aspticka (S), tallfingersvamp (S) och tjäder (§4). Av dessa är 29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21185"/>
            <wp:docPr id="1" name="Picture 1"/>
            <wp:cNvGraphicFramePr>
              <a:graphicFrameLocks noChangeAspect="1"/>
            </wp:cNvGraphicFramePr>
            <a:graphic>
              <a:graphicData uri="http://schemas.openxmlformats.org/drawingml/2006/picture">
                <pic:pic>
                  <pic:nvPicPr>
                    <pic:cNvPr id="0" name="A 55823-2024 karta.png"/>
                    <pic:cNvPicPr/>
                  </pic:nvPicPr>
                  <pic:blipFill>
                    <a:blip r:embed="rId16"/>
                    <a:stretch>
                      <a:fillRect/>
                    </a:stretch>
                  </pic:blipFill>
                  <pic:spPr>
                    <a:xfrm>
                      <a:off x="0" y="0"/>
                      <a:ext cx="5486400" cy="75211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6943439, E 540586 i SWEREF 99 TM.</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Druvfingersvampar </w:t>
      </w:r>
      <w:r>
        <w:t>utgör ett artkomplex</w:t>
      </w:r>
      <w:r>
        <w:rPr>
          <w:b/>
        </w:rPr>
        <w:t xml:space="preserve"> </w:t>
      </w:r>
      <w:r>
        <w:t xml:space="preserve">med en liten grupp rödlistade och snarlika arter; </w:t>
      </w:r>
      <w:r>
        <w:rPr>
          <w:i/>
        </w:rPr>
        <w:t>Ramaria parabotrytis</w:t>
      </w:r>
      <w:r>
        <w:t xml:space="preserve"> (EN), </w:t>
      </w:r>
      <w:r>
        <w:rPr>
          <w:i/>
        </w:rPr>
        <w:t>Ramaria aff. Strasseri</w:t>
      </w:r>
      <w:r>
        <w:t xml:space="preserve"> (EN), </w:t>
      </w:r>
      <w:r>
        <w:rPr>
          <w:i/>
        </w:rPr>
        <w:t>Ramaria aff. Rubrievanescens</w:t>
      </w:r>
      <w:r>
        <w:t xml:space="preserve"> (VU), </w:t>
      </w:r>
      <w:r>
        <w:rPr>
          <w:i/>
        </w:rPr>
        <w:t>Ramaria flavissima</w:t>
      </w:r>
      <w:r>
        <w:t xml:space="preserve"> (NT) och </w:t>
      </w:r>
      <w:r>
        <w:rPr>
          <w:i/>
        </w:rPr>
        <w:t>Ramaria botrytis</w:t>
      </w:r>
      <w:r>
        <w:t xml:space="preserve"> (NT). Arterna växer i skogar med lång skoglig kontinuitet och uppträder gärna på ytor med tunna humuslager och blottad mineraljord, t.ex. i sluttningar eller i närheten av stigar. Druvfingersvamparna är placerade högst upp i Skogsstyrelsens värdepyramid för bedömning av skog med höga naturvärden och all form av skogsavverkning innebär hot. De tål inte en slutavverkning och lokalerna bör undantas från rationella skogsbruksmetoder och inkluderas i formellt skyddad skog (SLU Artdatabanken, 2026;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Lammticka (VU)</w:t>
      </w:r>
      <w:r>
        <w:t xml:space="preserve"> bildar mykorrhiza med tall och växer i tämligen öppna barrskogar ofta magra tallhedar, gärna på sandig mark.</w:t>
      </w:r>
      <w:r>
        <w:rPr>
          <w:b/>
        </w:rPr>
        <w:t xml:space="preserve"> </w:t>
      </w:r>
      <w:r>
        <w:t>Arten är placerad högst upp i Skogsstyrelsens värdepyramid för bedömning av skog med höga naturvärden och tål inte slutavverkning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Oljetagging (NT)</w:t>
      </w:r>
      <w:r>
        <w:t xml:space="preserve"> är en nedbrytare på grova liggande stammar av asp, sällsynt andra lövträd. Påträffas framförallt i fuktiga lägen i löv- och blandskog, t ex äldre bondeskogar men också i naturskogsartad barrskog med aspinslag. Arten påverkas negativt av brist på död ved och den totala populationen i landet bedöms fortfarande minska fortlöpande, framförallt på grund av att äldre aspbestånd i sluten, fuktig miljö slutavverkas eller gallras i en snabbare takt än vad lämpliga miljöer nybildas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knärot (VU, §8),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4.06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55823-2024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6943439, E 540586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39 naturvårdsarter varav 29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