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13495-2023 i Ånge kommun</w:t>
      </w:r>
    </w:p>
    <w:p>
      <w:r>
        <w:t>Detta dokument behandlar höga naturvärden i avverkningsanmälan A 13495-2023 i Ånge kommun. Denna avverkningsanmälan inkom 2023-03-20 00:00:00 och omfattar 59,2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23 naturvårdsarter hittats: urskogsporing (EN), fläckporing (VU), knärot (VU, §8), ostticka (VU), rynkskinn (VU), blanksvart spiklav (NT), blågrå svartspik (NT), dvärgbägarlav (NT), garnlav (NT), knottrig blåslav (NT), kolflarnlav (NT), lunglav (NT), mörk kolflarnlav (NT), stiftgelélav (NT), vedflamlav (NT), vedskivlav (NT), vedtrappmossa (NT), vitgrynig nållav (NT), dropptaggsvamp (S), mindre märgborre (S), skinnlav (S), sotlav (S) och vedticka (S). Av dessa är 18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82822"/>
            <wp:docPr id="1" name="Picture 1"/>
            <wp:cNvGraphicFramePr>
              <a:graphicFrameLocks noChangeAspect="1"/>
            </wp:cNvGraphicFramePr>
            <a:graphic>
              <a:graphicData uri="http://schemas.openxmlformats.org/drawingml/2006/picture">
                <pic:pic>
                  <pic:nvPicPr>
                    <pic:cNvPr id="0" name="A 13495-2023 karta.png"/>
                    <pic:cNvPicPr/>
                  </pic:nvPicPr>
                  <pic:blipFill>
                    <a:blip r:embed="rId16"/>
                    <a:stretch>
                      <a:fillRect/>
                    </a:stretch>
                  </pic:blipFill>
                  <pic:spPr>
                    <a:xfrm>
                      <a:off x="0" y="0"/>
                      <a:ext cx="5486400" cy="43828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6924774, E 515300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Fläckporing (VU)</w:t>
      </w:r>
      <w:r>
        <w:t xml:space="preserve"> är en mycket bra signalart som visar på tallnaturskogar med höga naturvärden. Den är placerad högst upp i Skogsstyrelsens värdepyramid för bedömning av skog med höga naturvärden och indikerar områden som är mer eller mindre opåverkade av skogsbruk och där det funnits en kontinuitet av tallågor i olika nedbrytningsstadier. För att på lång sikt bibehålla livskraftiga populationer i ett område behövs troligen större skyddade områden som tillåter att man upprätthåller en naturlig branddynamik. Fläckporing är typisk art för </w:t>
      </w:r>
      <w:r>
        <w:rPr>
          <w:i/>
        </w:rPr>
        <w:t>9010 Taiga</w:t>
      </w:r>
      <w:r>
        <w:t xml:space="preserve"> (SLU Artdatabanken, 2024; Nitare &amp; Skogsstyrelsen, 2019).</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Knottrig blåslav är typisk art för </w:t>
      </w:r>
      <w:r>
        <w:rPr>
          <w:i/>
        </w:rPr>
        <w:t xml:space="preserve">9010 Taiga </w:t>
      </w:r>
      <w:r>
        <w:t>och</w:t>
      </w:r>
      <w:r>
        <w:rPr>
          <w:i/>
        </w:rPr>
        <w:t xml:space="preserve"> 9040 Fjällbjörkskog</w:t>
      </w:r>
    </w:p>
    <w:p>
      <w:r>
        <w:t>(SLU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 xml:space="preserve">Ostticka (VU) </w:t>
      </w:r>
      <w:r>
        <w:t xml:space="preserve">växer huvudsakligen på grova granlågor i urskogsartad barrskog. Växtplatserna ligger vanligtvis i brandrefugiala områden med relativt hög luftfuktighet där skogen under lång tid haft en intern beståndsdynamik med successivt avdöende träd. Alla skogsskötselåtgärder på eller i omedelbar närhet av lokalerna inverkar negativt på artens fortlevnad. Ostticka är typisk art för </w:t>
      </w:r>
      <w:r>
        <w:rPr>
          <w:i/>
        </w:rPr>
        <w:t xml:space="preserve">9010 Taiga </w:t>
      </w:r>
      <w:r>
        <w:t xml:space="preserve">och </w:t>
      </w:r>
      <w:r>
        <w:rPr>
          <w:i/>
        </w:rPr>
        <w:t>9030 Landhöjningsskog</w:t>
      </w:r>
      <w:r>
        <w:t xml:space="preserve"> (SLU Artdatabanken, 2024; Nitare &amp; Skogsstyrelsen, 2019).</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Sotlav</w:t>
      </w:r>
      <w:r>
        <w:t xml:space="preserve"> är överallt en mycket bra signalart och visar alltid på skogsmiljöer med höga naturvärden. Den indikerar långvarig förekomst av gamla eller döda träd. På lavens växtlokaler finns vanligen många andra ovanliga arter. Sotlav är typisk art för </w:t>
      </w:r>
      <w:r>
        <w:rPr>
          <w:i/>
        </w:rPr>
        <w:t xml:space="preserve">9010 Taiga </w:t>
      </w:r>
      <w:r>
        <w:t>och</w:t>
      </w:r>
      <w:r>
        <w:rPr>
          <w:i/>
        </w:rPr>
        <w:t xml:space="preserve"> 9070 Trädklädd betesmark</w:t>
      </w:r>
      <w:r>
        <w:t xml:space="preserve"> (Nitare &amp; Skogsstyrelsen, 2019; SLU Artdatabanken, 2025).</w:t>
      </w:r>
    </w:p>
    <w:p>
      <w:r>
        <w:rPr>
          <w:b/>
        </w:rPr>
        <w:t>Stiftgelélav (NT)</w:t>
      </w:r>
      <w:r>
        <w:t xml:space="preserve"> växer på gamla aspar och sälgar i blandskogar med hög luftfuktighet. Slutavverkning och vedhuggning är de största hoten och lokaler bör undantas från rationell skogsskötsel. På lång sikt måste inslaget av asp öka i svensk skog. Stiftgelélav är typisk art för </w:t>
      </w:r>
      <w:r>
        <w:rPr>
          <w:i/>
        </w:rPr>
        <w:t>9010 Taiga</w:t>
      </w:r>
      <w:r>
        <w:t xml:space="preserve"> (SLU Artdatabanken, 2024).</w:t>
      </w:r>
    </w:p>
    <w:p>
      <w:r>
        <w:rPr>
          <w:b/>
        </w:rPr>
        <w:t>Urskogsporing (EN)</w:t>
      </w:r>
      <w:r>
        <w:t xml:space="preserve"> är en starkt hotad art som växer på lågor av barrträd, företrädesvis tall, mer sällan gran. Den är hittills bara påträffad i äldre skogsbestånd med tydlig naturskogskaraktär. Urskogsporingen är förmodligen gynnad av brand och den typ av ved som arten växer på nyskapas knappast alls i modernt skogsbruk. Kända lokaler måste skyddas och undantas från skogsbruk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knärot (VU, §8).</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57 fyndplatser för knärot registrerade på Artportalen. Figur 2 visar gränserna för buffertzoner på 50 m, som behöver lämnas kring fyndplatserna för att knärotslokalerna inte ska försvinna vid en avverkning. Av det avverkningsanmälda området överlappar 20.82 ha med buffertzonerna och får av detta skäl inte avverkas.</w:t>
      </w:r>
    </w:p>
    <w:p>
      <w:pPr>
        <w:pStyle w:val="Caption"/>
      </w:pPr>
      <w:r>
        <w:drawing>
          <wp:inline xmlns:a="http://schemas.openxmlformats.org/drawingml/2006/main" xmlns:pic="http://schemas.openxmlformats.org/drawingml/2006/picture">
            <wp:extent cx="5486400" cy="5236126"/>
            <wp:docPr id="2" name="Picture 2"/>
            <wp:cNvGraphicFramePr>
              <a:graphicFrameLocks noChangeAspect="1"/>
            </wp:cNvGraphicFramePr>
            <a:graphic>
              <a:graphicData uri="http://schemas.openxmlformats.org/drawingml/2006/picture">
                <pic:pic>
                  <pic:nvPicPr>
                    <pic:cNvPr id="0" name="A 13495-2023 karta knärot.png"/>
                    <pic:cNvPicPr/>
                  </pic:nvPicPr>
                  <pic:blipFill>
                    <a:blip r:embed="rId17"/>
                    <a:stretch>
                      <a:fillRect/>
                    </a:stretch>
                  </pic:blipFill>
                  <pic:spPr>
                    <a:xfrm>
                      <a:off x="0" y="0"/>
                      <a:ext cx="5486400" cy="523612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6924774, E 515300 i SWEREF 99 TM.</w:t>
      </w:r>
    </w:p>
    <w:p>
      <w:pPr>
        <w:pStyle w:val="Caption"/>
      </w:pP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