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63330-2025 i Ånge kommun</w:t>
      </w:r>
    </w:p>
    <w:p>
      <w:r>
        <w:t>Detta dokument behandlar höga naturvärden i avverkningsanmälan A 63330-2025 i Ånge kommun. Denna avverkningsanmälan inkom 2025-12-19 00:00:00 och omfattar 2,1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 I BILAGA 1 finns artfakta om rödlistade arter.</w:t>
      </w:r>
    </w:p>
    <w:p>
      <w:pPr>
        <w:pStyle w:val="Heading1"/>
      </w:pPr>
      <w:r>
        <w:t>Naturvårdsarter</w:t>
      </w:r>
    </w:p>
    <w:p>
      <w:r>
        <w:t>I avverkningsanmälan har följande 3 naturvårdsarter hittats: garnlav (NT), granticka (NT) och lunglav (NT). Av dessa är 3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041268"/>
            <wp:docPr id="1" name="Picture 1"/>
            <wp:cNvGraphicFramePr>
              <a:graphicFrameLocks noChangeAspect="1"/>
            </wp:cNvGraphicFramePr>
            <a:graphic>
              <a:graphicData uri="http://schemas.openxmlformats.org/drawingml/2006/picture">
                <pic:pic>
                  <pic:nvPicPr>
                    <pic:cNvPr id="0" name="A 63330-2025 karta.png"/>
                    <pic:cNvPicPr/>
                  </pic:nvPicPr>
                  <pic:blipFill>
                    <a:blip r:embed="rId16"/>
                    <a:stretch>
                      <a:fillRect/>
                    </a:stretch>
                  </pic:blipFill>
                  <pic:spPr>
                    <a:xfrm>
                      <a:off x="0" y="0"/>
                      <a:ext cx="5486400" cy="604126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6918099, E 547701 i SWEREF 99 TM.</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Granticka</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Det som tidigare inbegripit grantickan har visat sig röra sig om två arter; tajgagranticka </w:t>
      </w:r>
      <w:r>
        <w:rPr>
          <w:i/>
        </w:rPr>
        <w:t>Porodaedalea abietis</w:t>
      </w:r>
      <w:r>
        <w:t xml:space="preserve"> (LC) och </w:t>
      </w:r>
      <w:r>
        <w:rPr>
          <w:i/>
        </w:rPr>
        <w:t>Porodaedalea chrysoloma</w:t>
      </w:r>
      <w:r>
        <w:t xml:space="preserve"> (DD). Den nordligare arten, tajgagranticka, bildar större fruktkroppar och har sin främsta förekomst i norra Sverige, medan den mer tunnköttiga arten, </w:t>
      </w:r>
      <w:r>
        <w:rPr>
          <w:i/>
        </w:rPr>
        <w:t>P. chrysoloma</w:t>
      </w:r>
      <w:r>
        <w:t>, förekommer i sydöstra Sverige och på Gotland (SLU Artdatabanken, 2026;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