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34481-2023 i Ånge kommun</w:t>
      </w:r>
    </w:p>
    <w:p>
      <w:r>
        <w:t>Detta klagomål behandlar höga naturvärden i avverkningsanmälan A 34481-2023 i Ånge kommun som inkom 2023-08-01 och omfattar 8,7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34481-2023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6926752, E 496618 i SWEREF 99 TM.</w:t>
      </w:r>
    </w:p>
    <w:p>
      <w:r>
        <w:t>I och inom 24 meter från avverkningsanmälan finns fynd av 25 naturvårdsarter, varav 21 är rödlistade, 3 är fridlysta, 19 är typiska (T) och 4 är signalarter (S): doftticka (VU, T, §8), fläckporing (VU, T), garnlav (VU, T), gräddporing (VU, T), gränsticka (VU, T), knärot (VU, T, §8), smalfotad taggsvamp (VU), vitskaftad svartspik (VU, T), dropptaggsvamp (NT, T), dvärgbägarlav (NT, T), harticka (NT, T), kolflarnlav (NT, T), kortskaftad ärgspik (NT), kådvaxskinn (NT), lunglav (NT, T), mörk kolflarnlav (NT), skarp dropptaggsvamp (NT), ullticka (NT, T), vedflamlav (NT), vedskivlav (NT, T), vedtrappmossa (NT, T), luddlav (S, T), spindelblomster (S, T, §8),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4481-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6926752, E 496618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