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292-2024 i Ånge kommun</w:t>
      </w:r>
    </w:p>
    <w:p>
      <w:r>
        <w:t>Detta klagomål behandlar höga naturvärden i samrådsanmälan S 292-2024 i Ånge kommun som inkom 2024-02-01 och omfattar 70,0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S 292-2024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6936217, E 491786 i SWEREF 99 TM.</w:t>
      </w:r>
    </w:p>
    <w:p>
      <w:r>
        <w:t>I och inom 25 meter från samrådsanmälan finns fynd av 16 naturvårdsarter, varav 9 är rödlistade, 7 är fridlysta, 12 är typiska (T) och 5 är signalarter (S): garnlav (VU, T), knärot (VU, T, §8), doftskinn (NT, T), lunglav (NT, T), mörk kolflarnlav (NT), talltita (NT, §4), tretåig hackspett (NT, T, §4), ullticka (NT, T), vedtrappmossa (NT, T), luddlav (S, T), norrlandslav (S, T), plattlummer (S, T, §9), spindelblomster (S, T, §8),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23 fyndplatser för knärot registrerade på Artportalen. Figur 2 visar gränserna för buffertzoner på 50 m, som behöver lämnas kring fyndplatserna för att knärotslokalerna inte ska försvinna vid en avverkning. Av det samrådsanmälda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891836"/>
            <wp:docPr id="2" name="Picture 2"/>
            <wp:cNvGraphicFramePr>
              <a:graphicFrameLocks noChangeAspect="1"/>
            </wp:cNvGraphicFramePr>
            <a:graphic>
              <a:graphicData uri="http://schemas.openxmlformats.org/drawingml/2006/picture">
                <pic:pic>
                  <pic:nvPicPr>
                    <pic:cNvPr id="0" name="S 292-2024 karta knärot.png"/>
                    <pic:cNvPicPr/>
                  </pic:nvPicPr>
                  <pic:blipFill>
                    <a:blip r:embed="rId17"/>
                    <a:stretch>
                      <a:fillRect/>
                    </a:stretch>
                  </pic:blipFill>
                  <pic:spPr>
                    <a:xfrm>
                      <a:off x="0" y="0"/>
                      <a:ext cx="5486400" cy="98918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6936217, E 491786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