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48374-2024 i Ånge kommun</w:t>
      </w:r>
    </w:p>
    <w:p>
      <w:r>
        <w:t>Detta dokument behandlar höga naturvärden i avverkningsanmälan A 48374-2024 i Ånge kommun. Denna avverkningsanmälan inkom 2024-10-25 13:55:37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bollvitmossa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67414"/>
            <wp:docPr id="1" name="Picture 1"/>
            <wp:cNvGraphicFramePr>
              <a:graphicFrameLocks noChangeAspect="1"/>
            </wp:cNvGraphicFramePr>
            <a:graphic>
              <a:graphicData uri="http://schemas.openxmlformats.org/drawingml/2006/picture">
                <pic:pic>
                  <pic:nvPicPr>
                    <pic:cNvPr id="0" name="A 48374-2024 karta.png"/>
                    <pic:cNvPicPr/>
                  </pic:nvPicPr>
                  <pic:blipFill>
                    <a:blip r:embed="rId16"/>
                    <a:stretch>
                      <a:fillRect/>
                    </a:stretch>
                  </pic:blipFill>
                  <pic:spPr>
                    <a:xfrm>
                      <a:off x="0" y="0"/>
                      <a:ext cx="5486400" cy="66674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6929719, E 526968 i SWEREF 99 TM.</w:t>
      </w:r>
    </w:p>
    <w:p>
      <w:r>
        <w:rPr>
          <w:b/>
        </w:rPr>
        <w:t xml:space="preserve">Bollvitmossa </w:t>
      </w:r>
      <w:r>
        <w:t xml:space="preserve">är en bra signalart inom hela sitt utbredningsområde. Vanligast är den i naturvårdsintressanta tallsumpskogar. Även gransumpskogar med bollvitmossa har normalt höga naturvärden. Arten indikerar skogsmark med stabila hydrologiska förhållanden och sannolikt även lång skoglig kontinuitet. Bollvitmossa är typisk art för </w:t>
      </w:r>
      <w:r>
        <w:rPr>
          <w:i/>
        </w:rPr>
        <w:t xml:space="preserve">9010 Taiga </w:t>
      </w:r>
      <w:r>
        <w:t xml:space="preserve">och </w:t>
      </w:r>
      <w:r>
        <w:rPr>
          <w:i/>
        </w:rPr>
        <w:t xml:space="preserve">9740 Skogsbevuxen myr </w:t>
      </w:r>
      <w:r>
        <w:t>(SLU Artdatabanken, 2025;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