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10086-2023 i Ånge kommun</w:t>
      </w:r>
    </w:p>
    <w:p>
      <w:r>
        <w:t>Denna tillsynsbegäran behandlar höga naturvärden i avverkningsanmälan A 10086-2023 i Ånge kommun som inkom 2023-02-28 och omfattar 2,4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6948865, E 557406 i SWEREF 99 TM.</w:t>
      </w:r>
    </w:p>
    <w:p>
      <w:r>
        <w:t>I och inom 22 meter från avverkningsanmälan finns fynd av 11 naturvårdsarter, varav 5 är rödlistade, 3 är fridlysta, 8 är typiska (T) och 4 är signalarter (S): doftticka (VU, T, §8), garnlav (VU, T), gammelgransskål (NT, T), lunglav (NT, T), ullticka (NT, T), källpraktmossa (S, T), stuplav (S, T), vedticka (S, T), vågbandad barkbock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lunglav (NT, T), ullticka (NT, T), källpraktmossa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