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37165-2026 i Ånge kommun</w:t>
      </w:r>
    </w:p>
    <w:p>
      <w:r>
        <w:t>Denna tillsynsbegäran behandlar höga naturvärden i avverkningsanmälan A 37165-2026 i Ånge kommun som inkom 2026-09-09 och omfattar 16,2 ha.</w:t>
      </w:r>
    </w:p>
    <w:p>
      <w:pPr>
        <w:pStyle w:val="Caption"/>
      </w:pPr>
      <w:r>
        <w:drawing>
          <wp:inline xmlns:a="http://schemas.openxmlformats.org/drawingml/2006/main" xmlns:pic="http://schemas.openxmlformats.org/drawingml/2006/picture">
            <wp:extent cx="5486400" cy="4906400"/>
            <wp:docPr id="1" name="Picture 1"/>
            <wp:cNvGraphicFramePr>
              <a:graphicFrameLocks noChangeAspect="1"/>
            </wp:cNvGraphicFramePr>
            <a:graphic>
              <a:graphicData uri="http://schemas.openxmlformats.org/drawingml/2006/picture">
                <pic:pic>
                  <pic:nvPicPr>
                    <pic:cNvPr id="0" name="A 37165-2026 karta.png"/>
                    <pic:cNvPicPr/>
                  </pic:nvPicPr>
                  <pic:blipFill>
                    <a:blip r:embed="rId16"/>
                    <a:stretch>
                      <a:fillRect/>
                    </a:stretch>
                  </pic:blipFill>
                  <pic:spPr>
                    <a:xfrm>
                      <a:off x="0" y="0"/>
                      <a:ext cx="5486400" cy="4906400"/>
                    </a:xfrm>
                    <a:prstGeom prst="rect"/>
                  </pic:spPr>
                </pic:pic>
              </a:graphicData>
            </a:graphic>
          </wp:inline>
        </w:drawing>
      </w:r>
    </w:p>
    <w:p>
      <w:pPr>
        <w:pStyle w:val="Caption"/>
        <w:spacing w:after="240"/>
      </w:pPr>
      <w:r>
        <w:t>Figur 1. Fyndplatser för naturvårdsarter i och inom 20 meter från avverkningsanmälan. Markörer utan svart kant är placerade på fyndplatsen. Markörer med svart kant är placerade vid sidan av fyndplatsen och har ett svart streck som visar fyndplatsens exakta position. Kartans mittpunktskoordinat är N 6941668, E 567748 i SWEREF 99 TM.</w:t>
      </w:r>
    </w:p>
    <w:p>
      <w:r>
        <w:t>I och inom 20 meter från avverkningsanmälan finns fynd av 8 naturvårdsarter, varav 4 är rödlistade, 3 är fridlysta, 7 är typiska (T) och 2 är signalarter (S): garnlav (VU, T), gammelgransskål (NT, T), lavskrika (NT, T, §4), lunglav (NT, T), bollvitmossa (S, T), nästlav (S, T), tjäder (T, §4) och fläcknycklar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Lavskrika (NT, §4)</w:t>
      </w:r>
      <w:r>
        <w:t xml:space="preserve"> är rödlistad som nära hotad och fridlyst enligt 4§ artskyddsförordningen. Den har minskat med 20 (10–30) % under de senaste 15 åren och minskningstakten bedöms vara nära gränsvärdet för sårbar (VU). Lavskrikan är en mycket stationär fågel, som häckar i äldre, slutna och hänglavsrika barrskogar. Nyckelfaktorer är flerskiktad skog med rik undervegetation samt riklig förekomst av hänglavar.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Den försvinner successivt framför allt vid dess utbredningsgränser och populationen har minskat kontinuerligt under 2000-talet. Lavskrika är typisk art för </w:t>
      </w:r>
      <w:r>
        <w:rPr>
          <w:i/>
        </w:rPr>
        <w:t>9010 Taiga</w:t>
      </w:r>
      <w:r>
        <w:t xml:space="preserve"> (SLU Artdatabanken, 2026; Skogsstyrelsen 2016).</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 xml:space="preserve">Bollvitmossa </w:t>
      </w:r>
      <w:r>
        <w:t xml:space="preserve">är en bra signalart inom hela sitt utbredningsområde. Vanligast är den i naturvårdsintressanta tallsumpskogar. Även gransumpskogar med bollvitmossa har normalt höga naturvärden. Arten indikerar skogsmark med stabila hydrologiska förhållanden och sannolikt även lång skoglig kontinuitet. Bollvitmossa är typisk art för </w:t>
      </w:r>
      <w:r>
        <w:rPr>
          <w:i/>
        </w:rPr>
        <w:t xml:space="preserve">9010 Taiga </w:t>
      </w:r>
      <w:r>
        <w:t xml:space="preserve">och </w:t>
      </w:r>
      <w:r>
        <w:rPr>
          <w:i/>
        </w:rPr>
        <w:t xml:space="preserve">9740 Skogsbevuxen myr </w:t>
      </w:r>
      <w:r>
        <w:t>(SLU Artdatabanken, 2025; Nitare &amp; Skogsstyrelsen, 2019).</w:t>
      </w:r>
    </w:p>
    <w:p>
      <w:r>
        <w:rPr>
          <w:b/>
        </w:rPr>
        <w:t>Nästlav</w:t>
      </w:r>
      <w:r>
        <w:t xml:space="preserve"> indikerar söder om den naturliga norrlandsgränsen äldre barrskogsområden med höga naturvärden där andra ovanliga nordliga barrskogsarter kan påträffas. Nästlav är typisk art för </w:t>
      </w:r>
      <w:r>
        <w:rPr>
          <w:i/>
        </w:rPr>
        <w:t xml:space="preserve">9010 Taiga </w:t>
      </w:r>
      <w:r>
        <w:t>(Nitare &amp; Skogsstyrelsen, 2019; SLU Artdatabanken, 2025).</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gammelgransskål (NT, T), lavskrika (NT, T, §4), lunglav (NT, T), bollvitmossa (S, T), nästlav (S, T) och tjäder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Lavskrika – ekologi samt krav på livsmiljön</w:t>
      </w:r>
    </w:p>
    <w:p>
      <w:r>
        <w:t>Lavskrika är rödlistad som nära hotad (NT), fridlyst enligt 4 § artskyddsförordningen (2007:845) och ingår i förteckningen över prioriterade arter i Skogsstyrelsens föreskrifter och allmänna råd (SKSFS 2011:7) bilaga 4. Lavskrikan är en mycket stationär fågel, som häckar i äldre, slutna och hänglavsrika barrskogar. Nyckelfaktorer är flerskiktad skog med rik undervegetation samt riklig förekomst av hänglavar (SLU Artdatabanken, 2026).</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 xml:space="preserve">Populationen har minskat med 20 (10–30) % under de senaste 15 åren och minskningstakten bedöms vara nära gränsvärdet för sårbar (VU). Arten försvinner successivt framför allt vid dess utbredningsgränser och populationen har minskat kontinuerligt under 2000-talet. Lavskrika är typisk art för </w:t>
      </w:r>
      <w:r>
        <w:rPr>
          <w:i/>
        </w:rPr>
        <w:t>9010 Taiga</w:t>
      </w:r>
      <w:r>
        <w:t xml:space="preserve"> (SLU Artdatabanken, 2026).</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2026.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