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17861-2023 i Ånge kommun</w:t>
      </w:r>
    </w:p>
    <w:p>
      <w:r>
        <w:t>Denna tillsynsbegäran behandlar höga naturvärden i avverkningsanmälan A 17861-2023 i Ånge kommun som inkom 2023-04-21 och omfattar 1,1 ha.</w:t>
      </w:r>
    </w:p>
    <w:p>
      <w:pPr>
        <w:pStyle w:val="Caption"/>
      </w:pPr>
      <w:r>
        <w:drawing>
          <wp:inline xmlns:a="http://schemas.openxmlformats.org/drawingml/2006/main" xmlns:pic="http://schemas.openxmlformats.org/drawingml/2006/picture">
            <wp:extent cx="5486400" cy="5023733"/>
            <wp:docPr id="1" name="Picture 1"/>
            <wp:cNvGraphicFramePr>
              <a:graphicFrameLocks noChangeAspect="1"/>
            </wp:cNvGraphicFramePr>
            <a:graphic>
              <a:graphicData uri="http://schemas.openxmlformats.org/drawingml/2006/picture">
                <pic:pic>
                  <pic:nvPicPr>
                    <pic:cNvPr id="0" name="A 17861-2023 karta.png"/>
                    <pic:cNvPicPr/>
                  </pic:nvPicPr>
                  <pic:blipFill>
                    <a:blip r:embed="rId16"/>
                    <a:stretch>
                      <a:fillRect/>
                    </a:stretch>
                  </pic:blipFill>
                  <pic:spPr>
                    <a:xfrm>
                      <a:off x="0" y="0"/>
                      <a:ext cx="5486400" cy="5023733"/>
                    </a:xfrm>
                    <a:prstGeom prst="rect"/>
                  </pic:spPr>
                </pic:pic>
              </a:graphicData>
            </a:graphic>
          </wp:inline>
        </w:drawing>
      </w:r>
    </w:p>
    <w:p>
      <w:pPr>
        <w:pStyle w:val="Caption"/>
        <w:spacing w:after="240"/>
      </w:pPr>
      <w:r>
        <w:t>Figur 1. Fyndplatser för naturvårdsarter i och inom 21 meter från avverkningsanmälan. Markörer utan svart kant är placerade på fyndplatsen. Markörer med svart kant är placerade vid sidan av fyndplatsen och har ett svart streck som visar fyndplatsens exakta position. Kartans mittpunktskoordinat är N 6927788, E 496006 i SWEREF 99 TM.</w:t>
      </w:r>
    </w:p>
    <w:p>
      <w:r>
        <w:t>I och inom 21 meter från avverkningsanmälan finns fynd av 4 naturvårdsarter, varav 3 är rödlistade, 2 är typiska (T) och 1 är signalart (S): skrovlig taggsvamp (VU), dropptaggsvamp (NT, T), mörk kolflarnlav (NT) och vedticka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Skrovlig taggsvamp (VU) </w:t>
      </w:r>
      <w:r>
        <w:t>bildar mykorrhiza med tall i äldre tallskog, framför allt på tallhed. Den växer huvudsakligen i äldre barrskog som hotas av slutavverkning. Genom att äldre barrskogar och naturskogar blir allt sällsyntare, missgynnas arten av skogsbruk. Arten ingår i ett åtgärdsprogram för hotade arter (ÅGP) och en långsiktig tillgång till svampens värdträd behöver säkras genom att växtplatserna undantas från avverkning. Skrovlig taggsvamp är globalt rödlistad som nära hotad (NT) vilket innebär att Sverige har ett internationellt ansvar för arten (IUCN, 2025; SLU Artdatabanken, 2026; Nitare, 2006).</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