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54677-2023 i Ånge kommun</w:t>
      </w:r>
    </w:p>
    <w:p>
      <w:r>
        <w:t>Denna tillsynsbegäran behandlar höga naturvärden i avverkningsanmälan A 54677-2023 i Ånge kommun som inkom 2023-11-05 och omfattar 23,4 ha.</w:t>
      </w:r>
    </w:p>
    <w:p>
      <w:pPr>
        <w:pStyle w:val="Caption"/>
      </w:pPr>
      <w:r>
        <w:drawing>
          <wp:inline xmlns:a="http://schemas.openxmlformats.org/drawingml/2006/main" xmlns:pic="http://schemas.openxmlformats.org/drawingml/2006/picture">
            <wp:extent cx="5486400" cy="3904582"/>
            <wp:docPr id="1" name="Picture 1"/>
            <wp:cNvGraphicFramePr>
              <a:graphicFrameLocks noChangeAspect="1"/>
            </wp:cNvGraphicFramePr>
            <a:graphic>
              <a:graphicData uri="http://schemas.openxmlformats.org/drawingml/2006/picture">
                <pic:pic>
                  <pic:nvPicPr>
                    <pic:cNvPr id="0" name="A 54677-2023 karta.png"/>
                    <pic:cNvPicPr/>
                  </pic:nvPicPr>
                  <pic:blipFill>
                    <a:blip r:embed="rId16"/>
                    <a:stretch>
                      <a:fillRect/>
                    </a:stretch>
                  </pic:blipFill>
                  <pic:spPr>
                    <a:xfrm>
                      <a:off x="0" y="0"/>
                      <a:ext cx="5486400" cy="390458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6937796, E 528308 i SWEREF 99 TM.</w:t>
      </w:r>
    </w:p>
    <w:p>
      <w:r>
        <w:t>I och inom 10 meter från avverkningsanmälan finns fynd av 17 naturvårdsarter, varav 14 är rödlistade, 2 är fridlysta, 12 är typiska (T) och 3 är signalarter (S): knärot (VU, T, §8), dropptaggsvamp (NT, T), dvärgbägarlav (NT, T), kolflarnlav (NT, T), kötticka (NT), lunglav (NT, T), mörk kolflarnlav (NT), rosenticka (NT, T), rynkskinn (NT, T), talltita (NT, §4), turkos blåvinge (NT), ullticka (NT, T), vedtrappmossa (NT, T), vit vedfingersvamp (NT), bronshjon (S, T), stor aspticka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4.78 ha med buffertzonerna och får av detta skäl inte avverkas.</w:t>
      </w:r>
    </w:p>
    <w:p>
      <w:pPr>
        <w:pStyle w:val="Caption"/>
      </w:pPr>
      <w:r>
        <w:drawing>
          <wp:inline xmlns:a="http://schemas.openxmlformats.org/drawingml/2006/main" xmlns:pic="http://schemas.openxmlformats.org/drawingml/2006/picture">
            <wp:extent cx="5486400" cy="3668912"/>
            <wp:docPr id="2" name="Picture 2"/>
            <wp:cNvGraphicFramePr>
              <a:graphicFrameLocks noChangeAspect="1"/>
            </wp:cNvGraphicFramePr>
            <a:graphic>
              <a:graphicData uri="http://schemas.openxmlformats.org/drawingml/2006/picture">
                <pic:pic>
                  <pic:nvPicPr>
                    <pic:cNvPr id="0" name="A 54677-2023 karta knärot.png"/>
                    <pic:cNvPicPr/>
                  </pic:nvPicPr>
                  <pic:blipFill>
                    <a:blip r:embed="rId17"/>
                    <a:stretch>
                      <a:fillRect/>
                    </a:stretch>
                  </pic:blipFill>
                  <pic:spPr>
                    <a:xfrm>
                      <a:off x="0" y="0"/>
                      <a:ext cx="5486400" cy="36689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6937796, E 528308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dvärgbägarlav (NT, T), kolflarnlav (NT, T), lunglav (NT, T), rosenticka (NT, T), rynkskinn (NT, T), ullticka (NT, T), vedtrappmossa (NT, T), bronshjon (S, T), stor aspticka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