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27212-2019 i Ånge kommun</w:t>
      </w:r>
    </w:p>
    <w:p>
      <w:r>
        <w:t>Detta dokument behandlar höga naturvärden i avverkningsanmälan A 27212-2019 i Ånge kommun. Denna avverkningsanmälan inkom 2019-05-29 och omfattar 18,1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31 naturvårdsarter hittats: doftticka (VU, §8), knärot (VU, §8), smalskaftslav (VU), brunpudrad nållav (NT), doftskinn (NT), gammelgransskål (NT), garnlav (NT), gränsticka (NT), lunglav (NT), mörk kolflarnlav (NT), rosenticka (NT), skrovellav (NT), ullticka (NT), vedtrappmossa (NT), violettgrå tagellav (NT), vitgrynig nållav (NT), barkkornlav (S), gulnål (S), gytterlav (S), kambräken (S), kattfotslav (S), korallblylav (S), luddlav (S), mörk husmossa (S), skinnlav (S), skuggblåslav (S), spindelblomster (S, §8), spädstarr (S), stuplav (S), vedticka (S) och revlummer (§9). Av dessa är 16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52292"/>
            <wp:docPr id="1" name="Picture 1"/>
            <wp:cNvGraphicFramePr>
              <a:graphicFrameLocks noChangeAspect="1"/>
            </wp:cNvGraphicFramePr>
            <a:graphic>
              <a:graphicData uri="http://schemas.openxmlformats.org/drawingml/2006/picture">
                <pic:pic>
                  <pic:nvPicPr>
                    <pic:cNvPr id="0" name="A 27212-2019 karta.png"/>
                    <pic:cNvPicPr/>
                  </pic:nvPicPr>
                  <pic:blipFill>
                    <a:blip r:embed="rId16"/>
                    <a:stretch>
                      <a:fillRect/>
                    </a:stretch>
                  </pic:blipFill>
                  <pic:spPr>
                    <a:xfrm>
                      <a:off x="0" y="0"/>
                      <a:ext cx="5486400" cy="42522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6945968, E 557490 i SWEREF 99 TM.</w:t>
      </w:r>
    </w:p>
    <w:p>
      <w:pPr>
        <w:pStyle w:val="Heading1"/>
      </w:pPr>
      <w:r>
        <w:t>Fridlysta arter</w:t>
      </w:r>
    </w:p>
    <w:p>
      <w:r>
        <w:t>Följande fridlysta arter har sina livsmiljöer och växtplatser i den avverkningsanmälda skogen: doftticka (VU, §8), knärot (VU, §8), spindelblomster (S, §8) och revlummer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3.92 ha med buffertzonerna och får av detta skäl inte avverkas.</w:t>
      </w:r>
    </w:p>
    <w:p>
      <w:pPr>
        <w:pStyle w:val="Caption"/>
      </w:pPr>
      <w:r>
        <w:drawing>
          <wp:inline xmlns:a="http://schemas.openxmlformats.org/drawingml/2006/main" xmlns:pic="http://schemas.openxmlformats.org/drawingml/2006/picture">
            <wp:extent cx="5486400" cy="5058170"/>
            <wp:docPr id="2" name="Picture 2"/>
            <wp:cNvGraphicFramePr>
              <a:graphicFrameLocks noChangeAspect="1"/>
            </wp:cNvGraphicFramePr>
            <a:graphic>
              <a:graphicData uri="http://schemas.openxmlformats.org/drawingml/2006/picture">
                <pic:pic>
                  <pic:nvPicPr>
                    <pic:cNvPr id="0" name="A 27212-2019 karta knärot.png"/>
                    <pic:cNvPicPr/>
                  </pic:nvPicPr>
                  <pic:blipFill>
                    <a:blip r:embed="rId17"/>
                    <a:stretch>
                      <a:fillRect/>
                    </a:stretch>
                  </pic:blipFill>
                  <pic:spPr>
                    <a:xfrm>
                      <a:off x="0" y="0"/>
                      <a:ext cx="5486400" cy="5058170"/>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6945968, E 557490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