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24423-2025 i Timrå kommun</w:t>
      </w:r>
    </w:p>
    <w:p>
      <w:r>
        <w:t>Denna tillsynsbegäran behandlar höga naturvärden i avverkningsanmälan A 24423-2025 i Timrå kommun som inkom 2025-05-20 och omfattar 2,4 ha.</w:t>
      </w:r>
    </w:p>
    <w:p>
      <w:pPr>
        <w:pStyle w:val="Caption"/>
      </w:pPr>
      <w:r>
        <w:drawing>
          <wp:inline xmlns:a="http://schemas.openxmlformats.org/drawingml/2006/main" xmlns:pic="http://schemas.openxmlformats.org/drawingml/2006/picture">
            <wp:extent cx="5486400" cy="4068609"/>
            <wp:docPr id="1" name="Picture 1"/>
            <wp:cNvGraphicFramePr>
              <a:graphicFrameLocks noChangeAspect="1"/>
            </wp:cNvGraphicFramePr>
            <a:graphic>
              <a:graphicData uri="http://schemas.openxmlformats.org/drawingml/2006/picture">
                <pic:pic>
                  <pic:nvPicPr>
                    <pic:cNvPr id="0" name="A 24423-2025 karta.png"/>
                    <pic:cNvPicPr/>
                  </pic:nvPicPr>
                  <pic:blipFill>
                    <a:blip r:embed="rId16"/>
                    <a:stretch>
                      <a:fillRect/>
                    </a:stretch>
                  </pic:blipFill>
                  <pic:spPr>
                    <a:xfrm>
                      <a:off x="0" y="0"/>
                      <a:ext cx="5486400" cy="406860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6935980, E 619930 i SWEREF 99 TM.</w:t>
      </w:r>
    </w:p>
    <w:p>
      <w:r>
        <w:t>I och inom 25 meter från avverkningsanmälan finns fynd av 7 naturvårdsarter, varav 4 är rödlistade, 3 är fridlysta, 5 är typiska (T) och 1 är signalart (S): gammelgransskål (NT, T), knottrig blåslav (NT, T), rynkskinn (NT, T), skuggblåslav (NT, T), skogsknipprot (S, T,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knottrig blåslav (NT, T), rynkskinn (NT, T), skuggblåslav (NT, T) och skogsknipprot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