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19798-2020 i Timrå kommun</w:t>
      </w:r>
    </w:p>
    <w:p>
      <w:r>
        <w:t>Detta dokument behandlar höga naturvärden i avverkningsanmälan A 19798-2020 i Timrå kommun. Denna avverkningsanmälan inkom 2020-04-16 och omfattar 3,8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garnlav (NT), lunglav (NT), stjärntagging (NT), gullgröppa (S) och skinnlav (S). Av dessa är 3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709379"/>
            <wp:docPr id="1" name="Picture 1"/>
            <wp:cNvGraphicFramePr>
              <a:graphicFrameLocks noChangeAspect="1"/>
            </wp:cNvGraphicFramePr>
            <a:graphic>
              <a:graphicData uri="http://schemas.openxmlformats.org/drawingml/2006/picture">
                <pic:pic>
                  <pic:nvPicPr>
                    <pic:cNvPr id="0" name="A 19798-2020 karta.png"/>
                    <pic:cNvPicPr/>
                  </pic:nvPicPr>
                  <pic:blipFill>
                    <a:blip r:embed="rId16"/>
                    <a:stretch>
                      <a:fillRect/>
                    </a:stretch>
                  </pic:blipFill>
                  <pic:spPr>
                    <a:xfrm>
                      <a:off x="0" y="0"/>
                      <a:ext cx="5486400" cy="770937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6942014, E 630553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 xml:space="preserve">Skinnlav </w:t>
      </w:r>
      <w:r>
        <w:t>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(Nitare &amp; Skogsstyrelsen, 2019).</w:t>
      </w:r>
    </w:p>
    <w:p>
      <w:r>
        <w:rPr>
          <w:b/>
        </w:rPr>
        <w:t>Stjärntagging (NT)</w:t>
      </w:r>
      <w:r>
        <w:t xml:space="preserve"> signalerar inom hela sitt utbredningsområde höga naturvärden. Svampen är uttorkningskänslig och beroende av ett oförändrat fuktigt mikroklimat. Den är även beroende av en ständig tillgång på död ved i olika nedbrytningsstadier, dock ej nödvändigtvis grova träd. Tidigare påverkan på miljön måste dock ha varit så skonsam att det naturliga skogsekosystemet till stora delar har bevarats. Minskningstakten för den svenska populationen bedöms vara nära gränsvärdet för Sårbar (VU)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2025-05-09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