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37600-2022 i Timrå kommun</w:t>
      </w:r>
    </w:p>
    <w:p>
      <w:r>
        <w:t>Detta klagomål behandlar höga naturvärden i avverkningsanmälan A 37600-2022 i Timrå kommun som inkom 2022-09-05 och omfattar 70,2 ha.</w:t>
      </w:r>
    </w:p>
    <w:p>
      <w:pPr>
        <w:pStyle w:val="Caption"/>
      </w:pPr>
      <w:r>
        <w:drawing>
          <wp:inline xmlns:a="http://schemas.openxmlformats.org/drawingml/2006/main" xmlns:pic="http://schemas.openxmlformats.org/drawingml/2006/picture">
            <wp:extent cx="5486400" cy="5431725"/>
            <wp:docPr id="1" name="Picture 1"/>
            <wp:cNvGraphicFramePr>
              <a:graphicFrameLocks noChangeAspect="1"/>
            </wp:cNvGraphicFramePr>
            <a:graphic>
              <a:graphicData uri="http://schemas.openxmlformats.org/drawingml/2006/picture">
                <pic:pic>
                  <pic:nvPicPr>
                    <pic:cNvPr id="0" name="A 37600-2022 karta.png"/>
                    <pic:cNvPicPr/>
                  </pic:nvPicPr>
                  <pic:blipFill>
                    <a:blip r:embed="rId16"/>
                    <a:stretch>
                      <a:fillRect/>
                    </a:stretch>
                  </pic:blipFill>
                  <pic:spPr>
                    <a:xfrm>
                      <a:off x="0" y="0"/>
                      <a:ext cx="5486400" cy="543172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6935634, E 628867 i SWEREF 99 TM.</w:t>
      </w:r>
    </w:p>
    <w:p>
      <w:r>
        <w:t>I och inom 23 meter från avverkningsanmälan finns fynd av 14 naturvårdsarter, varav 6 är rödlistade, 4 är fridlysta, 8 är typiska (T) och 5 är signalarter (S): garnlav (VU, T), glesgröe (VU), mindre hackspett (NT, T, §4), mindre purpurmätare (NT), sotnätfjäril (NT), vitfläckig guldvinge (NT), dvärghäxört (S, T), mörk husmossa (S, T), spindelbock (S), spädstarr (S, T), vedticka (S, T), blåsippa (T, §9), tjäder (T,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Glesgröe (VU) </w:t>
      </w:r>
      <w:r>
        <w:t>är i huvudsak en sumpskogsart och de flesta lokalerna ligger i anslutning till bäckraviner och skogsbäckar. Det är främst förändringar av hydrologiska förhållanden genom bland annat dikning och avverkning som hotar arten. Ofta utgör lokalerna värdefulla skogsmiljöer som bör undantas från skogsbruk och kalavverkning är direkt olämpligt (SLU Artdatabanken, 2024).</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Spindelbock</w:t>
      </w:r>
      <w:r>
        <w:t xml:space="preserve"> är en långhorning vars larvutveckling sker under barken på nyligen döda grenar och stammar av olika lövträd, främst björk och asp, men även klibbal, ek, hassel, sälg och andra trädslag. Det föreligger indikation på eller misstanke om populationsminskning. Minskningen avser kvalitén på artens habitat på grund av fortsatt snabb avverkning av kontinuitetsskog i norra Sverige, samt ett ökat utnyttjande av flisved (GROT) för energiändamål och röjning i hagmarker på grund av ändrade miljöersättningsregler i den södra halvan av landet (SLU Artdatabanken, 2025).</w:t>
      </w:r>
    </w:p>
    <w:p>
      <w:r>
        <w:rPr>
          <w:b/>
        </w:rPr>
        <w:t xml:space="preserve">Spädstarr </w:t>
      </w:r>
      <w:r>
        <w:t xml:space="preserve">är typisk art för </w:t>
      </w:r>
      <w:r>
        <w:rPr>
          <w:i/>
        </w:rPr>
        <w:t xml:space="preserve">9080 Lövsumpskog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