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55927-2023 i Timrå kommun</w:t>
      </w:r>
    </w:p>
    <w:p>
      <w:r>
        <w:t>Denna tillsynsbegäran behandlar höga naturvärden i avverkningsanmälan A 55927-2023 i Timrå kommun som inkom 2023-11-09 och omfattar 18,6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55927-2023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6949558, E 609059 i SWEREF 99 TM.</w:t>
      </w:r>
    </w:p>
    <w:p>
      <w:r>
        <w:t>I och inom 25 meter från avverkningsanmälan finns fynd av 16 naturvårdsarter, varav 11 är rödlistade, 5 är fridlysta, 15 är typiska (T) och 3 är signalarter (S): långskägg (EN, §8), garnlav (VU, T), knärot (VU, T, §8), ostticka (VU, T), kolflarnlav (NT, T), lunglav (NT, T), stiftgelélav (NT, T), tretåig hackspett (NT, T, §4), ullticka (NT, T), veckticka (NT, T), vedskivlav (NT, T), grönpyrola (S, T), korallblylav (S, T), skinnlav (S, T), blåsippa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4615363"/>
            <wp:docPr id="2" name="Picture 2"/>
            <wp:cNvGraphicFramePr>
              <a:graphicFrameLocks noChangeAspect="1"/>
            </wp:cNvGraphicFramePr>
            <a:graphic>
              <a:graphicData uri="http://schemas.openxmlformats.org/drawingml/2006/picture">
                <pic:pic>
                  <pic:nvPicPr>
                    <pic:cNvPr id="0" name="A 55927-2023 karta knärot.png"/>
                    <pic:cNvPicPr/>
                  </pic:nvPicPr>
                  <pic:blipFill>
                    <a:blip r:embed="rId17"/>
                    <a:stretch>
                      <a:fillRect/>
                    </a:stretch>
                  </pic:blipFill>
                  <pic:spPr>
                    <a:xfrm>
                      <a:off x="0" y="0"/>
                      <a:ext cx="5486400" cy="46153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6949558, E 609059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ostticka (VU, T), kolflarnlav (NT, T), lunglav (NT, T), stiftgelélav (NT, T), tretåig hackspett (NT, T, §4), ullticka (NT, T), veckticka (NT, T), vedskivlav (NT, T), grönpyrola (S, T), korallblylav (S, T), skinnlav (S, T),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