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23282-2025 i Timrå kommun</w:t>
      </w:r>
    </w:p>
    <w:p>
      <w:r>
        <w:t>Detta klagomål behandlar höga naturvärden i avverkningsanmälan A 23282-2025 i Timrå kommun som inkom 2025-05-14 och omfattar 3,3 ha.</w:t>
      </w:r>
    </w:p>
    <w:p>
      <w:pPr>
        <w:pStyle w:val="Caption"/>
      </w:pPr>
      <w:r>
        <w:drawing>
          <wp:inline xmlns:a="http://schemas.openxmlformats.org/drawingml/2006/main" xmlns:pic="http://schemas.openxmlformats.org/drawingml/2006/picture">
            <wp:extent cx="5486400" cy="3337089"/>
            <wp:docPr id="1" name="Picture 1"/>
            <wp:cNvGraphicFramePr>
              <a:graphicFrameLocks noChangeAspect="1"/>
            </wp:cNvGraphicFramePr>
            <a:graphic>
              <a:graphicData uri="http://schemas.openxmlformats.org/drawingml/2006/picture">
                <pic:pic>
                  <pic:nvPicPr>
                    <pic:cNvPr id="0" name="A 23282-2025 karta.png"/>
                    <pic:cNvPicPr/>
                  </pic:nvPicPr>
                  <pic:blipFill>
                    <a:blip r:embed="rId16"/>
                    <a:stretch>
                      <a:fillRect/>
                    </a:stretch>
                  </pic:blipFill>
                  <pic:spPr>
                    <a:xfrm>
                      <a:off x="0" y="0"/>
                      <a:ext cx="5486400" cy="333708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6934746, E 616671 i SWEREF 99 TM.</w:t>
      </w:r>
    </w:p>
    <w:p>
      <w:r>
        <w:t>I och inom 19 meter från avverkningsanmälan finns fynd av 11 naturvårdsarter, varav 6 är rödlistade, 2 är fridlysta, 9 är typiska (T) och 3 är signalarter (S): garnlav (VU, T), lunglav (NT, T), nordtagging (NT), reliktbock (NT, T), stiftgelélav (NT, T), vedskivlav (NT, T), skinnlav (S, T), stuplav (S, T),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